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CC049E" w:rsidRDefault="002F3359">
      <w:pPr>
        <w:keepNext/>
        <w:pBdr>
          <w:top w:val="nil"/>
          <w:left w:val="nil"/>
          <w:bottom w:val="nil"/>
          <w:right w:val="nil"/>
          <w:between w:val="nil"/>
        </w:pBdr>
        <w:rPr>
          <w:rFonts w:ascii="Caveat" w:eastAsia="Caveat" w:hAnsi="Caveat" w:cs="Caveat"/>
          <w:b/>
          <w:color w:val="000000"/>
          <w:sz w:val="54"/>
          <w:szCs w:val="54"/>
        </w:rPr>
      </w:pPr>
      <w:r>
        <w:rPr>
          <w:rFonts w:ascii="Caveat" w:eastAsia="Caveat" w:hAnsi="Caveat" w:cs="Caveat"/>
          <w:b/>
          <w:color w:val="000000"/>
          <w:sz w:val="54"/>
          <w:szCs w:val="54"/>
        </w:rPr>
        <w:t>Le traité de Mishna Meguila et la ville</w:t>
      </w:r>
    </w:p>
    <w:p w14:paraId="00000002"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03" w14:textId="2E1116F9"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b/>
          <w:i/>
          <w:sz w:val="22"/>
          <w:szCs w:val="22"/>
        </w:rPr>
        <w:t>I</w:t>
      </w:r>
      <w:r>
        <w:rPr>
          <w:rFonts w:ascii="Caveat" w:eastAsia="Caveat" w:hAnsi="Caveat" w:cs="Caveat"/>
          <w:b/>
          <w:i/>
          <w:color w:val="000000"/>
          <w:sz w:val="22"/>
          <w:szCs w:val="22"/>
        </w:rPr>
        <w:t>ntroduction</w:t>
      </w:r>
      <w:r w:rsidR="00074125">
        <w:rPr>
          <w:rFonts w:ascii="Caveat" w:eastAsia="Caveat" w:hAnsi="Caveat" w:cs="Caveat"/>
          <w:b/>
          <w:i/>
          <w:color w:val="000000"/>
          <w:sz w:val="22"/>
          <w:szCs w:val="22"/>
        </w:rPr>
        <w:t xml:space="preserve"> </w:t>
      </w:r>
      <w:r>
        <w:rPr>
          <w:rFonts w:ascii="Caveat" w:eastAsia="Caveat" w:hAnsi="Caveat" w:cs="Caveat"/>
          <w:b/>
          <w:i/>
          <w:color w:val="000000"/>
          <w:sz w:val="22"/>
          <w:szCs w:val="22"/>
        </w:rPr>
        <w:t>:</w:t>
      </w:r>
      <w:r>
        <w:rPr>
          <w:rFonts w:ascii="Caveat" w:eastAsia="Caveat" w:hAnsi="Caveat" w:cs="Caveat"/>
          <w:i/>
          <w:color w:val="000000"/>
          <w:sz w:val="22"/>
          <w:szCs w:val="22"/>
        </w:rPr>
        <w:t xml:space="preserve"> </w:t>
      </w:r>
      <w:r>
        <w:rPr>
          <w:rFonts w:ascii="Caveat" w:eastAsia="Caveat" w:hAnsi="Caveat" w:cs="Caveat"/>
          <w:color w:val="000000"/>
          <w:sz w:val="22"/>
          <w:szCs w:val="22"/>
        </w:rPr>
        <w:t>Le traité Meguila, en Mishna, traite de deux sujets et comporte une liste.</w:t>
      </w:r>
    </w:p>
    <w:p w14:paraId="00000004"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05" w14:textId="013A6D7E" w:rsidR="00CC049E" w:rsidRDefault="002F3359">
      <w:pPr>
        <w:numPr>
          <w:ilvl w:val="0"/>
          <w:numId w:val="4"/>
        </w:numPr>
        <w:pBdr>
          <w:top w:val="nil"/>
          <w:left w:val="nil"/>
          <w:bottom w:val="nil"/>
          <w:right w:val="nil"/>
          <w:between w:val="nil"/>
        </w:pBdr>
        <w:rPr>
          <w:rFonts w:ascii="Caveat" w:eastAsia="Caveat" w:hAnsi="Caveat" w:cs="Caveat"/>
        </w:rPr>
      </w:pPr>
      <w:r>
        <w:rPr>
          <w:rFonts w:ascii="Caveat" w:eastAsia="Caveat" w:hAnsi="Caveat" w:cs="Caveat"/>
          <w:color w:val="000000"/>
          <w:sz w:val="22"/>
          <w:szCs w:val="22"/>
        </w:rPr>
        <w:t xml:space="preserve">Le premier sujet c’est, comme on aurait pu s’y attendre, la déclamation du rouleau </w:t>
      </w:r>
      <w:r w:rsidR="00074125">
        <w:rPr>
          <w:rFonts w:ascii="Caveat" w:eastAsia="Caveat" w:hAnsi="Caveat" w:cs="Caveat"/>
          <w:color w:val="000000"/>
          <w:sz w:val="22"/>
          <w:szCs w:val="22"/>
        </w:rPr>
        <w:t>d’Esther :</w:t>
      </w:r>
      <w:r>
        <w:rPr>
          <w:rFonts w:ascii="Caveat" w:eastAsia="Caveat" w:hAnsi="Caveat" w:cs="Caveat"/>
          <w:color w:val="000000"/>
          <w:sz w:val="22"/>
          <w:szCs w:val="22"/>
        </w:rPr>
        <w:t xml:space="preserve"> quand? </w:t>
      </w:r>
      <w:r w:rsidR="00074125">
        <w:rPr>
          <w:rFonts w:ascii="Caveat" w:eastAsia="Caveat" w:hAnsi="Caveat" w:cs="Caveat"/>
          <w:color w:val="000000"/>
          <w:sz w:val="22"/>
          <w:szCs w:val="22"/>
        </w:rPr>
        <w:t>Comment ?</w:t>
      </w:r>
      <w:r>
        <w:rPr>
          <w:rFonts w:ascii="Caveat" w:eastAsia="Caveat" w:hAnsi="Caveat" w:cs="Caveat"/>
          <w:color w:val="000000"/>
          <w:sz w:val="22"/>
          <w:szCs w:val="22"/>
        </w:rPr>
        <w:t xml:space="preserve"> Et qui </w:t>
      </w:r>
      <w:r w:rsidR="00074125">
        <w:rPr>
          <w:rFonts w:ascii="Caveat" w:eastAsia="Caveat" w:hAnsi="Caveat" w:cs="Caveat"/>
          <w:color w:val="000000"/>
          <w:sz w:val="22"/>
          <w:szCs w:val="22"/>
        </w:rPr>
        <w:t>déclame ?</w:t>
      </w:r>
      <w:r>
        <w:rPr>
          <w:rFonts w:ascii="Caveat" w:eastAsia="Caveat" w:hAnsi="Caveat" w:cs="Caveat"/>
          <w:color w:val="000000"/>
          <w:sz w:val="22"/>
          <w:szCs w:val="22"/>
        </w:rPr>
        <w:t xml:space="preserve"> (</w:t>
      </w:r>
      <w:r w:rsidR="00074125">
        <w:rPr>
          <w:rFonts w:ascii="Caveat" w:eastAsia="Caveat" w:hAnsi="Caveat" w:cs="Caveat"/>
          <w:color w:val="000000"/>
          <w:sz w:val="22"/>
          <w:szCs w:val="22"/>
        </w:rPr>
        <w:t>Chapitre</w:t>
      </w:r>
      <w:r>
        <w:rPr>
          <w:rFonts w:ascii="Caveat" w:eastAsia="Caveat" w:hAnsi="Caveat" w:cs="Caveat"/>
          <w:color w:val="000000"/>
          <w:sz w:val="22"/>
          <w:szCs w:val="22"/>
        </w:rPr>
        <w:t xml:space="preserve"> 1 et 2). Or ce qui détermine la date à laquelle on déclame le rouleau, du 11 au 15 adar inclus, c’est </w:t>
      </w:r>
      <w:r w:rsidR="00074125">
        <w:rPr>
          <w:rFonts w:ascii="Caveat" w:eastAsia="Caveat" w:hAnsi="Caveat" w:cs="Caveat"/>
          <w:color w:val="000000"/>
          <w:sz w:val="22"/>
          <w:szCs w:val="22"/>
        </w:rPr>
        <w:t>la catégorie</w:t>
      </w:r>
      <w:r>
        <w:rPr>
          <w:rFonts w:ascii="Caveat" w:eastAsia="Caveat" w:hAnsi="Caveat" w:cs="Caveat"/>
          <w:color w:val="000000"/>
          <w:sz w:val="22"/>
          <w:szCs w:val="22"/>
        </w:rPr>
        <w:t xml:space="preserve"> de vi</w:t>
      </w:r>
      <w:r>
        <w:rPr>
          <w:rFonts w:ascii="Caveat" w:eastAsia="Caveat" w:hAnsi="Caveat" w:cs="Caveat"/>
          <w:color w:val="000000"/>
          <w:sz w:val="22"/>
          <w:szCs w:val="22"/>
        </w:rPr>
        <w:t>lles qu’on a fait sienne.</w:t>
      </w:r>
    </w:p>
    <w:p w14:paraId="00000006" w14:textId="291331D9"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 xml:space="preserve">      Il y a trois catégories de ville (chapitre 1.1-3</w:t>
      </w:r>
      <w:r w:rsidR="00074125">
        <w:rPr>
          <w:rFonts w:ascii="Caveat" w:eastAsia="Caveat" w:hAnsi="Caveat" w:cs="Caveat"/>
          <w:color w:val="000000"/>
          <w:sz w:val="22"/>
          <w:szCs w:val="22"/>
        </w:rPr>
        <w:t>) :</w:t>
      </w:r>
    </w:p>
    <w:p w14:paraId="00000007" w14:textId="77777777" w:rsidR="00CC049E" w:rsidRDefault="002F3359">
      <w:pPr>
        <w:numPr>
          <w:ilvl w:val="0"/>
          <w:numId w:val="5"/>
        </w:numPr>
        <w:pBdr>
          <w:top w:val="nil"/>
          <w:left w:val="nil"/>
          <w:bottom w:val="nil"/>
          <w:right w:val="nil"/>
          <w:between w:val="nil"/>
        </w:pBdr>
        <w:rPr>
          <w:rFonts w:ascii="Caveat" w:eastAsia="Caveat" w:hAnsi="Caveat" w:cs="Caveat"/>
        </w:rPr>
      </w:pPr>
      <w:r>
        <w:rPr>
          <w:rFonts w:ascii="Caveat" w:eastAsia="Caveat" w:hAnsi="Caveat" w:cs="Caveat"/>
          <w:color w:val="000000"/>
          <w:sz w:val="22"/>
          <w:szCs w:val="22"/>
        </w:rPr>
        <w:t>Les citadelles, villes entourées de murailles à l’époque de Yehoshoua bin Noun.</w:t>
      </w:r>
    </w:p>
    <w:p w14:paraId="00000008" w14:textId="77777777" w:rsidR="00CC049E" w:rsidRDefault="002F3359">
      <w:pPr>
        <w:numPr>
          <w:ilvl w:val="0"/>
          <w:numId w:val="5"/>
        </w:numPr>
        <w:pBdr>
          <w:top w:val="nil"/>
          <w:left w:val="nil"/>
          <w:bottom w:val="nil"/>
          <w:right w:val="nil"/>
          <w:between w:val="nil"/>
        </w:pBdr>
        <w:rPr>
          <w:rFonts w:ascii="Caveat" w:eastAsia="Caveat" w:hAnsi="Caveat" w:cs="Caveat"/>
        </w:rPr>
      </w:pPr>
      <w:r>
        <w:rPr>
          <w:rFonts w:ascii="Caveat" w:eastAsia="Caveat" w:hAnsi="Caveat" w:cs="Caveat"/>
          <w:color w:val="000000"/>
          <w:sz w:val="22"/>
          <w:szCs w:val="22"/>
        </w:rPr>
        <w:t>Les villes grandes.</w:t>
      </w:r>
    </w:p>
    <w:p w14:paraId="00000009" w14:textId="6B273558" w:rsidR="00CC049E" w:rsidRDefault="002F3359">
      <w:pPr>
        <w:numPr>
          <w:ilvl w:val="0"/>
          <w:numId w:val="5"/>
        </w:numPr>
        <w:pBdr>
          <w:top w:val="nil"/>
          <w:left w:val="nil"/>
          <w:bottom w:val="nil"/>
          <w:right w:val="nil"/>
          <w:between w:val="nil"/>
        </w:pBdr>
        <w:rPr>
          <w:rFonts w:ascii="Caveat" w:eastAsia="Caveat" w:hAnsi="Caveat" w:cs="Caveat"/>
        </w:rPr>
      </w:pPr>
      <w:r>
        <w:rPr>
          <w:rFonts w:ascii="Caveat" w:eastAsia="Caveat" w:hAnsi="Caveat" w:cs="Caveat"/>
          <w:color w:val="000000"/>
          <w:sz w:val="22"/>
          <w:szCs w:val="22"/>
        </w:rPr>
        <w:t xml:space="preserve">Les </w:t>
      </w:r>
      <w:r w:rsidR="00074125">
        <w:rPr>
          <w:rFonts w:ascii="Caveat" w:eastAsia="Caveat" w:hAnsi="Caveat" w:cs="Caveat"/>
          <w:color w:val="000000"/>
          <w:sz w:val="22"/>
          <w:szCs w:val="22"/>
        </w:rPr>
        <w:t>faubourgs ?</w:t>
      </w:r>
    </w:p>
    <w:p w14:paraId="0000000A"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0B" w14:textId="6539AB6E"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 xml:space="preserve">Définition d’une grande </w:t>
      </w:r>
      <w:r w:rsidR="00074125">
        <w:rPr>
          <w:rFonts w:ascii="Caveat" w:eastAsia="Caveat" w:hAnsi="Caveat" w:cs="Caveat"/>
          <w:color w:val="000000"/>
          <w:sz w:val="22"/>
          <w:szCs w:val="22"/>
        </w:rPr>
        <w:t>ville :</w:t>
      </w:r>
      <w:r>
        <w:rPr>
          <w:rFonts w:ascii="Caveat" w:eastAsia="Caveat" w:hAnsi="Caveat" w:cs="Caveat"/>
          <w:color w:val="000000"/>
          <w:sz w:val="22"/>
          <w:szCs w:val="22"/>
        </w:rPr>
        <w:t xml:space="preserve"> dix personnes qui s’occupent du collectif, c’est-à-dire </w:t>
      </w:r>
      <w:r>
        <w:rPr>
          <w:rFonts w:ascii="Caveat" w:eastAsia="Caveat" w:hAnsi="Caveat" w:cs="Caveat"/>
          <w:sz w:val="22"/>
          <w:szCs w:val="22"/>
        </w:rPr>
        <w:t>d</w:t>
      </w:r>
      <w:r>
        <w:rPr>
          <w:rFonts w:ascii="Caveat" w:eastAsia="Caveat" w:hAnsi="Caveat" w:cs="Caveat"/>
          <w:color w:val="000000"/>
          <w:sz w:val="22"/>
          <w:szCs w:val="22"/>
        </w:rPr>
        <w:t xml:space="preserve">u quorum pour la </w:t>
      </w:r>
      <w:r>
        <w:rPr>
          <w:rFonts w:ascii="Caveat" w:eastAsia="Caveat" w:hAnsi="Caveat" w:cs="Caveat"/>
          <w:i/>
          <w:color w:val="000000"/>
          <w:sz w:val="22"/>
          <w:szCs w:val="22"/>
        </w:rPr>
        <w:t>téfila</w:t>
      </w:r>
      <w:r>
        <w:rPr>
          <w:rFonts w:ascii="Caveat" w:eastAsia="Caveat" w:hAnsi="Caveat" w:cs="Caveat"/>
          <w:color w:val="000000"/>
          <w:sz w:val="22"/>
          <w:szCs w:val="22"/>
        </w:rPr>
        <w:t>, la prière. Moins que dix, c’est un faux-bourg.</w:t>
      </w:r>
    </w:p>
    <w:p w14:paraId="0000000C" w14:textId="77777777"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Ce qui lie les faubourgs aux grandes villes c’est le jour de rassemblement, lundi et jeudi. Ce jour-là, on déclame dans la Torah et les enseignants de la loi siègent dans les villes.</w:t>
      </w:r>
    </w:p>
    <w:p w14:paraId="0000000D"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0E" w14:textId="5878AF47"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II) Le deuxième sujet c’est la déclamation de la Torah (chapitre 3 et 4)</w:t>
      </w:r>
      <w:r>
        <w:rPr>
          <w:rFonts w:ascii="Caveat" w:eastAsia="Caveat" w:hAnsi="Caveat" w:cs="Caveat"/>
          <w:color w:val="000000"/>
          <w:sz w:val="22"/>
          <w:szCs w:val="22"/>
        </w:rPr>
        <w:t xml:space="preserve">. Quels sont les jours où on déclame dans la </w:t>
      </w:r>
      <w:r w:rsidR="00074125">
        <w:rPr>
          <w:rFonts w:ascii="Caveat" w:eastAsia="Caveat" w:hAnsi="Caveat" w:cs="Caveat"/>
          <w:color w:val="000000"/>
          <w:sz w:val="22"/>
          <w:szCs w:val="22"/>
        </w:rPr>
        <w:t>Torah ?</w:t>
      </w:r>
      <w:r>
        <w:rPr>
          <w:rFonts w:ascii="Caveat" w:eastAsia="Caveat" w:hAnsi="Caveat" w:cs="Caveat"/>
          <w:color w:val="000000"/>
          <w:sz w:val="22"/>
          <w:szCs w:val="22"/>
        </w:rPr>
        <w:t xml:space="preserve"> Combien de personnes y </w:t>
      </w:r>
      <w:r w:rsidR="00074125">
        <w:rPr>
          <w:rFonts w:ascii="Caveat" w:eastAsia="Caveat" w:hAnsi="Caveat" w:cs="Caveat"/>
          <w:color w:val="000000"/>
          <w:sz w:val="22"/>
          <w:szCs w:val="22"/>
        </w:rPr>
        <w:t>déclament ?</w:t>
      </w:r>
      <w:r>
        <w:rPr>
          <w:rFonts w:ascii="Caveat" w:eastAsia="Caveat" w:hAnsi="Caveat" w:cs="Caveat"/>
          <w:color w:val="000000"/>
          <w:sz w:val="22"/>
          <w:szCs w:val="22"/>
        </w:rPr>
        <w:t xml:space="preserve"> Quand est-ce que la déclamation de </w:t>
      </w:r>
      <w:r>
        <w:rPr>
          <w:rFonts w:ascii="Caveat" w:eastAsia="Caveat" w:hAnsi="Caveat" w:cs="Caveat"/>
          <w:sz w:val="22"/>
          <w:szCs w:val="22"/>
        </w:rPr>
        <w:t>l</w:t>
      </w:r>
      <w:r>
        <w:rPr>
          <w:rFonts w:ascii="Caveat" w:eastAsia="Caveat" w:hAnsi="Caveat" w:cs="Caveat"/>
          <w:color w:val="000000"/>
          <w:sz w:val="22"/>
          <w:szCs w:val="22"/>
        </w:rPr>
        <w:t xml:space="preserve">a Torah est clôturée par une déclamation des </w:t>
      </w:r>
      <w:r w:rsidR="00074125">
        <w:rPr>
          <w:rFonts w:ascii="Caveat" w:eastAsia="Caveat" w:hAnsi="Caveat" w:cs="Caveat"/>
          <w:color w:val="000000"/>
          <w:sz w:val="22"/>
          <w:szCs w:val="22"/>
        </w:rPr>
        <w:t>Prophètes ?</w:t>
      </w:r>
      <w:r>
        <w:rPr>
          <w:rFonts w:ascii="Caveat" w:eastAsia="Caveat" w:hAnsi="Caveat" w:cs="Caveat"/>
          <w:color w:val="000000"/>
          <w:sz w:val="22"/>
          <w:szCs w:val="22"/>
        </w:rPr>
        <w:t xml:space="preserve"> Qu’il faut être dix pour déclamer</w:t>
      </w:r>
      <w:r>
        <w:rPr>
          <w:rFonts w:ascii="Caveat" w:eastAsia="Caveat" w:hAnsi="Caveat" w:cs="Caveat"/>
          <w:sz w:val="22"/>
          <w:szCs w:val="22"/>
        </w:rPr>
        <w:t>.</w:t>
      </w:r>
      <w:r>
        <w:rPr>
          <w:rFonts w:ascii="Caveat" w:eastAsia="Caveat" w:hAnsi="Caveat" w:cs="Caveat"/>
          <w:color w:val="000000"/>
          <w:sz w:val="22"/>
          <w:szCs w:val="22"/>
        </w:rPr>
        <w:t xml:space="preserve"> Comment s’y </w:t>
      </w:r>
      <w:r w:rsidR="00074125">
        <w:rPr>
          <w:rFonts w:ascii="Caveat" w:eastAsia="Caveat" w:hAnsi="Caveat" w:cs="Caveat"/>
          <w:color w:val="000000"/>
          <w:sz w:val="22"/>
          <w:szCs w:val="22"/>
        </w:rPr>
        <w:t>prend on</w:t>
      </w:r>
      <w:r>
        <w:rPr>
          <w:rFonts w:ascii="Caveat" w:eastAsia="Caveat" w:hAnsi="Caveat" w:cs="Caveat"/>
          <w:color w:val="000000"/>
          <w:sz w:val="22"/>
          <w:szCs w:val="22"/>
        </w:rPr>
        <w:t xml:space="preserve"> pour la traduction </w:t>
      </w:r>
      <w:r w:rsidR="00074125">
        <w:rPr>
          <w:rFonts w:ascii="Caveat" w:eastAsia="Caveat" w:hAnsi="Caveat" w:cs="Caveat"/>
          <w:color w:val="000000"/>
          <w:sz w:val="22"/>
          <w:szCs w:val="22"/>
        </w:rPr>
        <w:t>simultanée ?</w:t>
      </w:r>
      <w:r>
        <w:rPr>
          <w:rFonts w:ascii="Caveat" w:eastAsia="Caveat" w:hAnsi="Caveat" w:cs="Caveat"/>
          <w:color w:val="000000"/>
          <w:sz w:val="22"/>
          <w:szCs w:val="22"/>
        </w:rPr>
        <w:t xml:space="preserve"> Quels sont les passages non traduits et ceux qui ne sont pas « déclamables </w:t>
      </w:r>
      <w:r w:rsidR="00074125">
        <w:rPr>
          <w:rFonts w:ascii="Caveat" w:eastAsia="Caveat" w:hAnsi="Caveat" w:cs="Caveat"/>
          <w:color w:val="000000"/>
          <w:sz w:val="22"/>
          <w:szCs w:val="22"/>
        </w:rPr>
        <w:t>» ?</w:t>
      </w:r>
      <w:r>
        <w:rPr>
          <w:rFonts w:ascii="Caveat" w:eastAsia="Caveat" w:hAnsi="Caveat" w:cs="Caveat"/>
          <w:color w:val="000000"/>
          <w:sz w:val="22"/>
          <w:szCs w:val="22"/>
        </w:rPr>
        <w:t xml:space="preserve"> </w:t>
      </w:r>
    </w:p>
    <w:p w14:paraId="0000000F" w14:textId="561DDFF9"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Or la Mishna introduit le sujet de la déclamation de la Torah par une expression emblématique (chapitre 3</w:t>
      </w:r>
      <w:r w:rsidR="00074125">
        <w:rPr>
          <w:rFonts w:ascii="Caveat" w:eastAsia="Caveat" w:hAnsi="Caveat" w:cs="Caveat"/>
          <w:color w:val="000000"/>
          <w:sz w:val="22"/>
          <w:szCs w:val="22"/>
        </w:rPr>
        <w:t>) :</w:t>
      </w:r>
      <w:r>
        <w:rPr>
          <w:rFonts w:ascii="Caveat" w:eastAsia="Caveat" w:hAnsi="Caveat" w:cs="Caveat"/>
          <w:color w:val="000000"/>
          <w:sz w:val="22"/>
          <w:szCs w:val="22"/>
        </w:rPr>
        <w:t xml:space="preserve"> </w:t>
      </w:r>
      <w:r>
        <w:rPr>
          <w:rFonts w:ascii="Caveat" w:eastAsia="Caveat" w:hAnsi="Caveat" w:cs="Caveat"/>
          <w:i/>
          <w:color w:val="000000"/>
          <w:sz w:val="22"/>
          <w:szCs w:val="22"/>
        </w:rPr>
        <w:t xml:space="preserve">Béné haïr, </w:t>
      </w:r>
      <w:r>
        <w:rPr>
          <w:rFonts w:ascii="Caveat" w:eastAsia="Caveat" w:hAnsi="Caveat" w:cs="Caveat"/>
          <w:color w:val="000000"/>
          <w:sz w:val="22"/>
          <w:szCs w:val="22"/>
        </w:rPr>
        <w:t xml:space="preserve">les fils de la ville, les bâtisseurs de la cité. </w:t>
      </w:r>
      <w:r>
        <w:rPr>
          <w:rFonts w:ascii="Caveat" w:eastAsia="Caveat" w:hAnsi="Caveat" w:cs="Caveat"/>
          <w:color w:val="000000"/>
          <w:sz w:val="22"/>
          <w:szCs w:val="22"/>
        </w:rPr>
        <w:t>Les hommes qui constituent un collectif possèdent un espace pour y prier les jours de grands rassemblements comme les jeûnes, et une maison de rassemblement pour y prier et déclamer le texte de la Torah et des Prophètes. Les fils de la ville se rassemblent</w:t>
      </w:r>
      <w:r>
        <w:rPr>
          <w:rFonts w:ascii="Caveat" w:eastAsia="Caveat" w:hAnsi="Caveat" w:cs="Caveat"/>
          <w:color w:val="000000"/>
          <w:sz w:val="22"/>
          <w:szCs w:val="22"/>
        </w:rPr>
        <w:t xml:space="preserve"> autour d’une parole à laquelle ils do</w:t>
      </w:r>
      <w:r>
        <w:rPr>
          <w:rFonts w:ascii="Caveat" w:eastAsia="Caveat" w:hAnsi="Caveat" w:cs="Caveat"/>
          <w:sz w:val="22"/>
          <w:szCs w:val="22"/>
        </w:rPr>
        <w:t>nnent de</w:t>
      </w:r>
      <w:r>
        <w:rPr>
          <w:rFonts w:ascii="Caveat" w:eastAsia="Caveat" w:hAnsi="Caveat" w:cs="Caveat"/>
          <w:color w:val="000000"/>
          <w:sz w:val="22"/>
          <w:szCs w:val="22"/>
        </w:rPr>
        <w:t xml:space="preserve"> la hauteur. Cette parole est celle que Moshé notre maître, ainsi que les autres prophètes, nous ont transmis comme étant la parole qu’Hachem adresse aux fils d’Israël.</w:t>
      </w:r>
    </w:p>
    <w:p w14:paraId="00000010"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11" w14:textId="4DE2BFBA" w:rsidR="00CC049E" w:rsidRDefault="00074125">
      <w:pPr>
        <w:pBdr>
          <w:top w:val="nil"/>
          <w:left w:val="nil"/>
          <w:bottom w:val="nil"/>
          <w:right w:val="nil"/>
          <w:between w:val="nil"/>
        </w:pBdr>
        <w:rPr>
          <w:rFonts w:ascii="Caveat" w:eastAsia="Caveat" w:hAnsi="Caveat" w:cs="Caveat"/>
          <w:b/>
          <w:color w:val="000000"/>
          <w:sz w:val="22"/>
          <w:szCs w:val="22"/>
        </w:rPr>
      </w:pPr>
      <w:r>
        <w:rPr>
          <w:rFonts w:ascii="Caveat" w:eastAsia="Caveat" w:hAnsi="Caveat" w:cs="Caveat"/>
          <w:b/>
          <w:color w:val="000000"/>
          <w:sz w:val="22"/>
          <w:szCs w:val="22"/>
          <w:u w:val="single"/>
        </w:rPr>
        <w:t>Conclusion</w:t>
      </w:r>
      <w:r>
        <w:rPr>
          <w:rFonts w:ascii="Caveat" w:eastAsia="Caveat" w:hAnsi="Caveat" w:cs="Caveat"/>
          <w:b/>
          <w:color w:val="000000"/>
          <w:sz w:val="22"/>
          <w:szCs w:val="22"/>
        </w:rPr>
        <w:t xml:space="preserve"> :</w:t>
      </w:r>
    </w:p>
    <w:p w14:paraId="00000012"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13" w14:textId="77777777"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Le traité de Mishna (répéti</w:t>
      </w:r>
      <w:r>
        <w:rPr>
          <w:rFonts w:ascii="Caveat" w:eastAsia="Caveat" w:hAnsi="Caveat" w:cs="Caveat"/>
          <w:color w:val="000000"/>
          <w:sz w:val="22"/>
          <w:szCs w:val="22"/>
        </w:rPr>
        <w:t>tion) Meguila est tout entier une mise en exergue d’un collectif régulé par la déclamation.</w:t>
      </w:r>
    </w:p>
    <w:p w14:paraId="00000014" w14:textId="77777777"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 xml:space="preserve"> La déclamation du rouleau de la Meguila, qui est une charge sur chaque individu, comme le Hallel ou le Keriat Shema, est dépendante de la catégorie de ville que cet individu a fait sienne.</w:t>
      </w:r>
    </w:p>
    <w:p w14:paraId="00000015" w14:textId="77777777"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La déclamation de la torah et des Prophètes, qui est une charge de</w:t>
      </w:r>
      <w:r>
        <w:rPr>
          <w:rFonts w:ascii="Caveat" w:eastAsia="Caveat" w:hAnsi="Caveat" w:cs="Caveat"/>
          <w:color w:val="000000"/>
          <w:sz w:val="22"/>
          <w:szCs w:val="22"/>
        </w:rPr>
        <w:t xml:space="preserve"> la collectivité, se fait aux jours de rassemblements, fêtes et jeûnes et en présence de dix hommes. La ville possède un espace et une maison de rassemblement.</w:t>
      </w:r>
    </w:p>
    <w:p w14:paraId="00000016"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17"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18"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19"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1A"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1B"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1C"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1D"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1E"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1F"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20"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21"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22"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23"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24"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25"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26"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27"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28"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29" w14:textId="77777777" w:rsidR="00CC049E" w:rsidRDefault="002F3359">
      <w:pPr>
        <w:keepNext/>
        <w:pBdr>
          <w:top w:val="nil"/>
          <w:left w:val="nil"/>
          <w:bottom w:val="nil"/>
          <w:right w:val="nil"/>
          <w:between w:val="nil"/>
        </w:pBdr>
        <w:rPr>
          <w:rFonts w:ascii="Caveat" w:eastAsia="Caveat" w:hAnsi="Caveat" w:cs="Caveat"/>
          <w:b/>
          <w:color w:val="000000"/>
          <w:sz w:val="60"/>
          <w:szCs w:val="60"/>
        </w:rPr>
      </w:pPr>
      <w:r>
        <w:rPr>
          <w:rFonts w:ascii="Caveat" w:eastAsia="Caveat" w:hAnsi="Caveat" w:cs="Caveat"/>
          <w:b/>
          <w:color w:val="000000"/>
          <w:sz w:val="60"/>
          <w:szCs w:val="60"/>
        </w:rPr>
        <w:lastRenderedPageBreak/>
        <w:t>Les 5 lettres du rouleau d’Esther</w:t>
      </w:r>
    </w:p>
    <w:p w14:paraId="0000002A"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2B"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2C" w14:textId="77777777" w:rsidR="00CC049E" w:rsidRDefault="002F3359">
      <w:pPr>
        <w:numPr>
          <w:ilvl w:val="0"/>
          <w:numId w:val="1"/>
        </w:numPr>
        <w:pBdr>
          <w:top w:val="nil"/>
          <w:left w:val="nil"/>
          <w:bottom w:val="nil"/>
          <w:right w:val="nil"/>
          <w:between w:val="nil"/>
        </w:pBdr>
        <w:rPr>
          <w:rFonts w:ascii="Caveat" w:eastAsia="Caveat" w:hAnsi="Caveat" w:cs="Caveat"/>
        </w:rPr>
      </w:pPr>
      <w:r>
        <w:rPr>
          <w:rFonts w:ascii="Caveat" w:eastAsia="Caveat" w:hAnsi="Caveat" w:cs="Caveat"/>
          <w:color w:val="000000"/>
          <w:sz w:val="22"/>
          <w:szCs w:val="22"/>
        </w:rPr>
        <w:t>Le rouleau d’Esther a été rédigé comme une lettre qu’Esther et Mordekhaï envoyèrent aux juifs pour établir les jours du 14 et 15 adar comme jour de fête de Pourim (9.31).</w:t>
      </w:r>
    </w:p>
    <w:p w14:paraId="0000002D" w14:textId="77777777"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 xml:space="preserve">    Plusieurs lettres jalonnent le récit Esthérien.</w:t>
      </w:r>
    </w:p>
    <w:p w14:paraId="0000002E"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2F" w14:textId="77777777" w:rsidR="00CC049E" w:rsidRDefault="002F3359">
      <w:pPr>
        <w:numPr>
          <w:ilvl w:val="0"/>
          <w:numId w:val="1"/>
        </w:numPr>
        <w:pBdr>
          <w:top w:val="nil"/>
          <w:left w:val="nil"/>
          <w:bottom w:val="nil"/>
          <w:right w:val="nil"/>
          <w:between w:val="nil"/>
        </w:pBdr>
        <w:rPr>
          <w:rFonts w:ascii="Caveat" w:eastAsia="Caveat" w:hAnsi="Caveat" w:cs="Caveat"/>
        </w:rPr>
      </w:pPr>
      <w:r>
        <w:rPr>
          <w:rFonts w:ascii="Caveat" w:eastAsia="Caveat" w:hAnsi="Caveat" w:cs="Caveat"/>
          <w:color w:val="000000"/>
          <w:sz w:val="22"/>
          <w:szCs w:val="22"/>
        </w:rPr>
        <w:t>Le roi envoie dans toutes les pr</w:t>
      </w:r>
      <w:r>
        <w:rPr>
          <w:rFonts w:ascii="Caveat" w:eastAsia="Caveat" w:hAnsi="Caveat" w:cs="Caveat"/>
          <w:color w:val="000000"/>
          <w:sz w:val="22"/>
          <w:szCs w:val="22"/>
        </w:rPr>
        <w:t>ovinces du royaume perse des missives qui établissent l’autorité de la langue maritale des foyers (1.22).</w:t>
      </w:r>
    </w:p>
    <w:p w14:paraId="00000030"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31" w14:textId="77777777" w:rsidR="00CC049E" w:rsidRDefault="002F3359">
      <w:pPr>
        <w:numPr>
          <w:ilvl w:val="0"/>
          <w:numId w:val="1"/>
        </w:numPr>
        <w:pBdr>
          <w:top w:val="nil"/>
          <w:left w:val="nil"/>
          <w:bottom w:val="nil"/>
          <w:right w:val="nil"/>
          <w:between w:val="nil"/>
        </w:pBdr>
        <w:rPr>
          <w:rFonts w:ascii="Caveat" w:eastAsia="Caveat" w:hAnsi="Caveat" w:cs="Caveat"/>
        </w:rPr>
      </w:pPr>
      <w:r>
        <w:rPr>
          <w:rFonts w:ascii="Caveat" w:eastAsia="Caveat" w:hAnsi="Caveat" w:cs="Caveat"/>
          <w:color w:val="000000"/>
          <w:sz w:val="22"/>
          <w:szCs w:val="22"/>
        </w:rPr>
        <w:t>Haman ayant reçu le sceau royal envoie dans les 127 provinces un édit stipulant que le jour du 13 adar serait celui de la destruction complète du peu</w:t>
      </w:r>
      <w:r>
        <w:rPr>
          <w:rFonts w:ascii="Caveat" w:eastAsia="Caveat" w:hAnsi="Caveat" w:cs="Caveat"/>
          <w:color w:val="000000"/>
          <w:sz w:val="22"/>
          <w:szCs w:val="22"/>
        </w:rPr>
        <w:t>ple juif (3.13)</w:t>
      </w:r>
      <w:r>
        <w:rPr>
          <w:rFonts w:ascii="Caveat" w:eastAsia="Caveat" w:hAnsi="Caveat" w:cs="Caveat"/>
          <w:sz w:val="22"/>
          <w:szCs w:val="22"/>
        </w:rPr>
        <w:t>,</w:t>
      </w:r>
      <w:r>
        <w:rPr>
          <w:rFonts w:ascii="Caveat" w:eastAsia="Caveat" w:hAnsi="Caveat" w:cs="Caveat"/>
          <w:color w:val="000000"/>
          <w:sz w:val="22"/>
          <w:szCs w:val="22"/>
        </w:rPr>
        <w:t xml:space="preserve"> écrit le 13 Nissan.</w:t>
      </w:r>
    </w:p>
    <w:p w14:paraId="00000032"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33" w14:textId="77777777" w:rsidR="00CC049E" w:rsidRDefault="002F3359">
      <w:pPr>
        <w:numPr>
          <w:ilvl w:val="0"/>
          <w:numId w:val="1"/>
        </w:numPr>
        <w:pBdr>
          <w:top w:val="nil"/>
          <w:left w:val="nil"/>
          <w:bottom w:val="nil"/>
          <w:right w:val="nil"/>
          <w:between w:val="nil"/>
        </w:pBdr>
        <w:rPr>
          <w:rFonts w:ascii="Caveat" w:eastAsia="Caveat" w:hAnsi="Caveat" w:cs="Caveat"/>
        </w:rPr>
      </w:pPr>
      <w:r>
        <w:rPr>
          <w:rFonts w:ascii="Caveat" w:eastAsia="Caveat" w:hAnsi="Caveat" w:cs="Caveat"/>
          <w:color w:val="000000"/>
          <w:sz w:val="22"/>
          <w:szCs w:val="22"/>
        </w:rPr>
        <w:t>Mordekhaï ayant reçu la maison d’ham</w:t>
      </w:r>
      <w:r>
        <w:rPr>
          <w:rFonts w:ascii="Caveat" w:eastAsia="Caveat" w:hAnsi="Caveat" w:cs="Caveat"/>
          <w:sz w:val="22"/>
          <w:szCs w:val="22"/>
        </w:rPr>
        <w:t>a</w:t>
      </w:r>
      <w:r>
        <w:rPr>
          <w:rFonts w:ascii="Caveat" w:eastAsia="Caveat" w:hAnsi="Caveat" w:cs="Caveat"/>
          <w:color w:val="000000"/>
          <w:sz w:val="22"/>
          <w:szCs w:val="22"/>
        </w:rPr>
        <w:t>n après que ce dernier ait été pendu, rédige un document royal qui donne l'autorisation à tous les juifs et leurs partisans de se défendre contre leurs ennemis le jour du 13 adar (8</w:t>
      </w:r>
      <w:r>
        <w:rPr>
          <w:rFonts w:ascii="Caveat" w:eastAsia="Caveat" w:hAnsi="Caveat" w:cs="Caveat"/>
          <w:color w:val="000000"/>
          <w:sz w:val="22"/>
          <w:szCs w:val="22"/>
        </w:rPr>
        <w:t>.10), écrit le 23 Sivan.</w:t>
      </w:r>
    </w:p>
    <w:p w14:paraId="00000034"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35" w14:textId="77777777" w:rsidR="00CC049E" w:rsidRDefault="002F3359">
      <w:pPr>
        <w:numPr>
          <w:ilvl w:val="0"/>
          <w:numId w:val="1"/>
        </w:numPr>
        <w:pBdr>
          <w:top w:val="nil"/>
          <w:left w:val="nil"/>
          <w:bottom w:val="nil"/>
          <w:right w:val="nil"/>
          <w:between w:val="nil"/>
        </w:pBdr>
        <w:rPr>
          <w:rFonts w:ascii="Caveat" w:eastAsia="Caveat" w:hAnsi="Caveat" w:cs="Caveat"/>
        </w:rPr>
      </w:pPr>
      <w:r>
        <w:rPr>
          <w:rFonts w:ascii="Caveat" w:eastAsia="Caveat" w:hAnsi="Caveat" w:cs="Caveat"/>
          <w:color w:val="000000"/>
          <w:sz w:val="22"/>
          <w:szCs w:val="22"/>
        </w:rPr>
        <w:t>Mordekhaï, après la victoire des juifs envoie une lettre à tous les juifs du royaume qui institue Pourim comme une des fêtes du calendrier chaque année (9.20).</w:t>
      </w:r>
    </w:p>
    <w:p w14:paraId="00000036"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37"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38" w14:textId="3BE4821B" w:rsidR="00CC049E" w:rsidRDefault="00074125">
      <w:pPr>
        <w:pBdr>
          <w:top w:val="nil"/>
          <w:left w:val="nil"/>
          <w:bottom w:val="nil"/>
          <w:right w:val="nil"/>
          <w:between w:val="nil"/>
        </w:pBdr>
        <w:rPr>
          <w:rFonts w:ascii="Caveat" w:eastAsia="Caveat" w:hAnsi="Caveat" w:cs="Caveat"/>
          <w:b/>
          <w:color w:val="000000"/>
          <w:sz w:val="22"/>
          <w:szCs w:val="22"/>
          <w:u w:val="single"/>
        </w:rPr>
      </w:pPr>
      <w:r>
        <w:rPr>
          <w:rFonts w:ascii="Caveat" w:eastAsia="Caveat" w:hAnsi="Caveat" w:cs="Caveat"/>
          <w:b/>
          <w:color w:val="000000"/>
          <w:sz w:val="22"/>
          <w:szCs w:val="22"/>
          <w:u w:val="single"/>
        </w:rPr>
        <w:t>Conclusion :</w:t>
      </w:r>
    </w:p>
    <w:p w14:paraId="00000039"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3A" w14:textId="77777777"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Le récit Esthérien avec ses 5 lettres qui le composent se propose à nous comme une lettre qui nous est adressé. Cette lettre nous remet en mémoire que, s’il y a des puissances qui se liguent pour exterminer les juifs, leurs plans se retournent contre eux e</w:t>
      </w:r>
      <w:r>
        <w:rPr>
          <w:rFonts w:ascii="Caveat" w:eastAsia="Caveat" w:hAnsi="Caveat" w:cs="Caveat"/>
          <w:color w:val="000000"/>
          <w:sz w:val="22"/>
          <w:szCs w:val="22"/>
        </w:rPr>
        <w:t>t c’est finalement eux qui disparaissent. Tel fut le cas de l’Espagne à l’époque de l’inquisition (1492) et du régime nazi lors de la dernière guerre (1945).</w:t>
      </w:r>
    </w:p>
    <w:p w14:paraId="0000003B" w14:textId="77777777" w:rsidR="00CC049E" w:rsidRDefault="00CC049E">
      <w:pPr>
        <w:keepNext/>
        <w:pBdr>
          <w:top w:val="nil"/>
          <w:left w:val="nil"/>
          <w:bottom w:val="nil"/>
          <w:right w:val="nil"/>
          <w:between w:val="nil"/>
        </w:pBdr>
        <w:rPr>
          <w:rFonts w:ascii="Caveat" w:eastAsia="Caveat" w:hAnsi="Caveat" w:cs="Caveat"/>
          <w:b/>
          <w:sz w:val="56"/>
          <w:szCs w:val="56"/>
        </w:rPr>
      </w:pPr>
    </w:p>
    <w:p w14:paraId="0000003C" w14:textId="77777777" w:rsidR="00CC049E" w:rsidRDefault="00CC049E">
      <w:pPr>
        <w:keepNext/>
        <w:pBdr>
          <w:top w:val="nil"/>
          <w:left w:val="nil"/>
          <w:bottom w:val="nil"/>
          <w:right w:val="nil"/>
          <w:between w:val="nil"/>
        </w:pBdr>
        <w:rPr>
          <w:rFonts w:ascii="Caveat" w:eastAsia="Caveat" w:hAnsi="Caveat" w:cs="Caveat"/>
          <w:b/>
          <w:sz w:val="56"/>
          <w:szCs w:val="56"/>
        </w:rPr>
      </w:pPr>
    </w:p>
    <w:p w14:paraId="0000003D" w14:textId="799E1025" w:rsidR="00CC049E" w:rsidRDefault="002F3359">
      <w:pPr>
        <w:keepNext/>
        <w:pBdr>
          <w:top w:val="nil"/>
          <w:left w:val="nil"/>
          <w:bottom w:val="nil"/>
          <w:right w:val="nil"/>
          <w:between w:val="nil"/>
        </w:pBdr>
        <w:rPr>
          <w:rFonts w:ascii="Caveat" w:eastAsia="Caveat" w:hAnsi="Caveat" w:cs="Caveat"/>
          <w:b/>
          <w:color w:val="000000"/>
          <w:sz w:val="56"/>
          <w:szCs w:val="56"/>
        </w:rPr>
      </w:pPr>
      <w:r>
        <w:rPr>
          <w:rFonts w:ascii="Caveat" w:eastAsia="Caveat" w:hAnsi="Caveat" w:cs="Caveat"/>
          <w:b/>
          <w:color w:val="000000"/>
          <w:sz w:val="56"/>
          <w:szCs w:val="56"/>
        </w:rPr>
        <w:t xml:space="preserve">La particularité du rouleau </w:t>
      </w:r>
      <w:r w:rsidR="00074125">
        <w:rPr>
          <w:rFonts w:ascii="Caveat" w:eastAsia="Caveat" w:hAnsi="Caveat" w:cs="Caveat"/>
          <w:b/>
          <w:color w:val="000000"/>
          <w:sz w:val="56"/>
          <w:szCs w:val="56"/>
        </w:rPr>
        <w:t>d’Esther :</w:t>
      </w:r>
      <w:r>
        <w:rPr>
          <w:rFonts w:ascii="Caveat" w:eastAsia="Caveat" w:hAnsi="Caveat" w:cs="Caveat"/>
          <w:b/>
          <w:color w:val="000000"/>
          <w:sz w:val="56"/>
          <w:szCs w:val="56"/>
        </w:rPr>
        <w:t xml:space="preserve"> </w:t>
      </w:r>
    </w:p>
    <w:p w14:paraId="0000003E" w14:textId="4CABA5F0" w:rsidR="00CC049E" w:rsidRDefault="00074125">
      <w:pPr>
        <w:keepNext/>
        <w:pBdr>
          <w:top w:val="nil"/>
          <w:left w:val="nil"/>
          <w:bottom w:val="nil"/>
          <w:right w:val="nil"/>
          <w:between w:val="nil"/>
        </w:pBdr>
        <w:rPr>
          <w:rFonts w:ascii="Caveat" w:eastAsia="Caveat" w:hAnsi="Caveat" w:cs="Caveat"/>
          <w:b/>
          <w:color w:val="000000"/>
          <w:sz w:val="56"/>
          <w:szCs w:val="56"/>
        </w:rPr>
      </w:pPr>
      <w:r>
        <w:rPr>
          <w:rFonts w:ascii="Caveat" w:eastAsia="Caveat" w:hAnsi="Caveat" w:cs="Caveat"/>
          <w:b/>
          <w:color w:val="000000"/>
          <w:sz w:val="56"/>
          <w:szCs w:val="56"/>
        </w:rPr>
        <w:t>L’absence</w:t>
      </w:r>
      <w:r w:rsidR="002F3359">
        <w:rPr>
          <w:rFonts w:ascii="Caveat" w:eastAsia="Caveat" w:hAnsi="Caveat" w:cs="Caveat"/>
          <w:b/>
          <w:color w:val="000000"/>
          <w:sz w:val="56"/>
          <w:szCs w:val="56"/>
        </w:rPr>
        <w:t xml:space="preserve"> du nom de Dieu</w:t>
      </w:r>
    </w:p>
    <w:p w14:paraId="0000003F"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40"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41" w14:textId="4E62AEDE" w:rsidR="00CC049E" w:rsidRDefault="00074125">
      <w:pPr>
        <w:pBdr>
          <w:top w:val="nil"/>
          <w:left w:val="nil"/>
          <w:bottom w:val="nil"/>
          <w:right w:val="nil"/>
          <w:between w:val="nil"/>
        </w:pBdr>
        <w:rPr>
          <w:rFonts w:ascii="Caveat" w:eastAsia="Caveat" w:hAnsi="Caveat" w:cs="Caveat"/>
          <w:b/>
          <w:i/>
          <w:color w:val="000000"/>
          <w:sz w:val="22"/>
          <w:szCs w:val="22"/>
        </w:rPr>
      </w:pPr>
      <w:r>
        <w:rPr>
          <w:rFonts w:ascii="Caveat" w:eastAsia="Caveat" w:hAnsi="Caveat" w:cs="Caveat"/>
          <w:b/>
          <w:i/>
          <w:color w:val="000000"/>
          <w:sz w:val="22"/>
          <w:szCs w:val="22"/>
        </w:rPr>
        <w:t>Introduction :</w:t>
      </w:r>
    </w:p>
    <w:p w14:paraId="00000042"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43" w14:textId="3EBEA3E8"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Les livres de la Bible hébraïque sont nommés dans la tradition juive (la Mishna): Écritures de la sainteté. La sainteté de ces livres réside dans la mention des différents noms de Dieu, qu’il est interdit d’effacer. Un livre est dit « Écrit de la sainteté </w:t>
      </w:r>
      <w:r>
        <w:rPr>
          <w:rFonts w:ascii="Caveat" w:eastAsia="Caveat" w:hAnsi="Caveat" w:cs="Caveat"/>
          <w:color w:val="000000"/>
          <w:sz w:val="22"/>
          <w:szCs w:val="22"/>
        </w:rPr>
        <w:t xml:space="preserve">» s’il comporte la mention d’un des noms divins. Or le rouleau d’Esther n’en comporte même pas un seul. Deux questions se </w:t>
      </w:r>
      <w:r w:rsidR="00074125">
        <w:rPr>
          <w:rFonts w:ascii="Caveat" w:eastAsia="Caveat" w:hAnsi="Caveat" w:cs="Caveat"/>
          <w:color w:val="000000"/>
          <w:sz w:val="22"/>
          <w:szCs w:val="22"/>
        </w:rPr>
        <w:t>posent :</w:t>
      </w:r>
    </w:p>
    <w:p w14:paraId="00000044" w14:textId="6DA35EB6" w:rsidR="00CC049E" w:rsidRDefault="002F3359">
      <w:pPr>
        <w:numPr>
          <w:ilvl w:val="0"/>
          <w:numId w:val="2"/>
        </w:numPr>
        <w:pBdr>
          <w:top w:val="nil"/>
          <w:left w:val="nil"/>
          <w:bottom w:val="nil"/>
          <w:right w:val="nil"/>
          <w:between w:val="nil"/>
        </w:pBdr>
        <w:rPr>
          <w:rFonts w:ascii="Caveat" w:eastAsia="Caveat" w:hAnsi="Caveat" w:cs="Caveat"/>
        </w:rPr>
      </w:pPr>
      <w:r>
        <w:rPr>
          <w:rFonts w:ascii="Caveat" w:eastAsia="Caveat" w:hAnsi="Caveat" w:cs="Caveat"/>
          <w:color w:val="000000"/>
          <w:sz w:val="22"/>
          <w:szCs w:val="22"/>
        </w:rPr>
        <w:t xml:space="preserve">Pourquoi le nom de Dieu ne figure-t-il pas dans le rouleau </w:t>
      </w:r>
      <w:r w:rsidR="00074125">
        <w:rPr>
          <w:rFonts w:ascii="Caveat" w:eastAsia="Caveat" w:hAnsi="Caveat" w:cs="Caveat"/>
          <w:color w:val="000000"/>
          <w:sz w:val="22"/>
          <w:szCs w:val="22"/>
        </w:rPr>
        <w:t>d’Esther ?</w:t>
      </w:r>
      <w:r>
        <w:rPr>
          <w:rFonts w:ascii="Caveat" w:eastAsia="Caveat" w:hAnsi="Caveat" w:cs="Caveat"/>
          <w:color w:val="000000"/>
          <w:sz w:val="22"/>
          <w:szCs w:val="22"/>
        </w:rPr>
        <w:t xml:space="preserve"> Sous aucune </w:t>
      </w:r>
      <w:r w:rsidR="00074125">
        <w:rPr>
          <w:rFonts w:ascii="Caveat" w:eastAsia="Caveat" w:hAnsi="Caveat" w:cs="Caveat"/>
          <w:color w:val="000000"/>
          <w:sz w:val="22"/>
          <w:szCs w:val="22"/>
        </w:rPr>
        <w:t>forme ?</w:t>
      </w:r>
    </w:p>
    <w:p w14:paraId="00000045" w14:textId="75176044"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sz w:val="22"/>
          <w:szCs w:val="22"/>
        </w:rPr>
        <w:t xml:space="preserve">2)  </w:t>
      </w:r>
      <w:r>
        <w:rPr>
          <w:rFonts w:ascii="Caveat" w:eastAsia="Caveat" w:hAnsi="Caveat" w:cs="Caveat"/>
          <w:color w:val="000000"/>
          <w:sz w:val="22"/>
          <w:szCs w:val="22"/>
        </w:rPr>
        <w:t xml:space="preserve">Comment le livre d’Esther peut-il être considéré comme un écrit de la sainteté sans cette </w:t>
      </w:r>
      <w:r w:rsidR="00074125">
        <w:rPr>
          <w:rFonts w:ascii="Caveat" w:eastAsia="Caveat" w:hAnsi="Caveat" w:cs="Caveat"/>
          <w:color w:val="000000"/>
          <w:sz w:val="22"/>
          <w:szCs w:val="22"/>
        </w:rPr>
        <w:t>mention ?</w:t>
      </w:r>
    </w:p>
    <w:p w14:paraId="00000046"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47" w14:textId="2AFFC316" w:rsidR="00CC049E" w:rsidRDefault="002F3359">
      <w:pPr>
        <w:numPr>
          <w:ilvl w:val="0"/>
          <w:numId w:val="3"/>
        </w:numPr>
        <w:pBdr>
          <w:top w:val="nil"/>
          <w:left w:val="nil"/>
          <w:bottom w:val="nil"/>
          <w:right w:val="nil"/>
          <w:between w:val="nil"/>
        </w:pBdr>
        <w:rPr>
          <w:rFonts w:ascii="Caveat" w:eastAsia="Caveat" w:hAnsi="Caveat" w:cs="Caveat"/>
        </w:rPr>
      </w:pPr>
      <w:r>
        <w:rPr>
          <w:rFonts w:ascii="Caveat" w:eastAsia="Caveat" w:hAnsi="Caveat" w:cs="Caveat"/>
          <w:color w:val="000000"/>
          <w:sz w:val="22"/>
          <w:szCs w:val="22"/>
        </w:rPr>
        <w:t xml:space="preserve">Le rouleau </w:t>
      </w:r>
      <w:r w:rsidR="00074125">
        <w:rPr>
          <w:rFonts w:ascii="Caveat" w:eastAsia="Caveat" w:hAnsi="Caveat" w:cs="Caveat"/>
          <w:color w:val="000000"/>
          <w:sz w:val="22"/>
          <w:szCs w:val="22"/>
        </w:rPr>
        <w:t>d’Esther :</w:t>
      </w:r>
      <w:r>
        <w:rPr>
          <w:rFonts w:ascii="Caveat" w:eastAsia="Caveat" w:hAnsi="Caveat" w:cs="Caveat"/>
          <w:color w:val="000000"/>
          <w:sz w:val="22"/>
          <w:szCs w:val="22"/>
        </w:rPr>
        <w:t xml:space="preserve"> Une lettre composée de 5 lettres.</w:t>
      </w:r>
    </w:p>
    <w:p w14:paraId="00000048"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49" w14:textId="77777777"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Le rouleau d’Esther tout entier est écrit comme une lettre que Mordekhaï et Esther adressèrent à tous les juifs des 127 provinces du royaume d’Assuér</w:t>
      </w:r>
      <w:r>
        <w:rPr>
          <w:rFonts w:ascii="Caveat" w:eastAsia="Caveat" w:hAnsi="Caveat" w:cs="Caveat"/>
          <w:sz w:val="22"/>
          <w:szCs w:val="22"/>
        </w:rPr>
        <w:t>u</w:t>
      </w:r>
      <w:r>
        <w:rPr>
          <w:rFonts w:ascii="Caveat" w:eastAsia="Caveat" w:hAnsi="Caveat" w:cs="Caveat"/>
          <w:color w:val="000000"/>
          <w:sz w:val="22"/>
          <w:szCs w:val="22"/>
        </w:rPr>
        <w:t>s. Cette lettre leur a été adressé directement après les événements (chapitre 9.20) et à nouveau l’année d</w:t>
      </w:r>
      <w:r>
        <w:rPr>
          <w:rFonts w:ascii="Caveat" w:eastAsia="Caveat" w:hAnsi="Caveat" w:cs="Caveat"/>
          <w:color w:val="000000"/>
          <w:sz w:val="22"/>
          <w:szCs w:val="22"/>
        </w:rPr>
        <w:t>’après pour confirmer la chose de façon définitive (9.29).</w:t>
      </w:r>
    </w:p>
    <w:p w14:paraId="0000004A" w14:textId="77777777"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Par ailleurs, le premier chapitre du rouleau se conclut aussi par une lettre que le roi adresse aux 127 provinces (1.22). Le rouleau d’Esther déroule l’histoire de la lettre que Haman rédigea contr</w:t>
      </w:r>
      <w:r>
        <w:rPr>
          <w:rFonts w:ascii="Caveat" w:eastAsia="Caveat" w:hAnsi="Caveat" w:cs="Caveat"/>
          <w:color w:val="000000"/>
          <w:sz w:val="22"/>
          <w:szCs w:val="22"/>
        </w:rPr>
        <w:t>e les juifs des 127 provinces (3.13) et de la reprise de cette même lettre par Mordekhaï pour renverser la situation (8.11) après que Haman a été suspendu.</w:t>
      </w:r>
    </w:p>
    <w:p w14:paraId="0000004B"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4C"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4D" w14:textId="77777777"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II.    L’écriture du nom de Dieu</w:t>
      </w:r>
    </w:p>
    <w:p w14:paraId="0000004E"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4F" w14:textId="636441B2"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Tout celui qui détruit un des noms de Dieu transgresse une recom</w:t>
      </w:r>
      <w:r>
        <w:rPr>
          <w:rFonts w:ascii="Caveat" w:eastAsia="Caveat" w:hAnsi="Caveat" w:cs="Caveat"/>
          <w:color w:val="000000"/>
          <w:sz w:val="22"/>
          <w:szCs w:val="22"/>
        </w:rPr>
        <w:t xml:space="preserve">mandation de la Torah. Voilà pourquoi, dans les générations antérieures, on était très attentifs à n’écrire un des noms de Dieu qu’il </w:t>
      </w:r>
      <w:r>
        <w:rPr>
          <w:rFonts w:ascii="Caveat" w:eastAsia="Caveat" w:hAnsi="Caveat" w:cs="Caveat"/>
          <w:sz w:val="22"/>
          <w:szCs w:val="22"/>
        </w:rPr>
        <w:t>est</w:t>
      </w:r>
      <w:r>
        <w:rPr>
          <w:rFonts w:ascii="Caveat" w:eastAsia="Caveat" w:hAnsi="Caveat" w:cs="Caveat"/>
          <w:color w:val="000000"/>
          <w:sz w:val="22"/>
          <w:szCs w:val="22"/>
        </w:rPr>
        <w:t xml:space="preserve"> interdit de détruire, que dans </w:t>
      </w:r>
      <w:r w:rsidR="00074125">
        <w:rPr>
          <w:rFonts w:ascii="Caveat" w:eastAsia="Caveat" w:hAnsi="Caveat" w:cs="Caveat"/>
          <w:color w:val="000000"/>
          <w:sz w:val="22"/>
          <w:szCs w:val="22"/>
        </w:rPr>
        <w:t>un texte</w:t>
      </w:r>
      <w:r>
        <w:rPr>
          <w:rFonts w:ascii="Caveat" w:eastAsia="Caveat" w:hAnsi="Caveat" w:cs="Caveat"/>
          <w:color w:val="000000"/>
          <w:sz w:val="22"/>
          <w:szCs w:val="22"/>
        </w:rPr>
        <w:t xml:space="preserve"> des (24) livres de la Sainteté.</w:t>
      </w:r>
    </w:p>
    <w:p w14:paraId="00000050" w14:textId="77777777"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C’est cette habitude que Mordekhaï a préservé</w:t>
      </w:r>
      <w:r>
        <w:rPr>
          <w:rFonts w:ascii="Caveat" w:eastAsia="Caveat" w:hAnsi="Caveat" w:cs="Caveat"/>
          <w:color w:val="000000"/>
          <w:sz w:val="22"/>
          <w:szCs w:val="22"/>
        </w:rPr>
        <w:t xml:space="preserve"> quand il a rédigé le rouleau d’Esther qu’il envoya comme édit royal dans les 127 provinces du roi A’hachveroch. Le rouleau d’Esther a été envoyé comme une lettre mais reçu par l’ensemble des juifs du royaume comme un texte à déclamer, comme un des livres </w:t>
      </w:r>
      <w:r>
        <w:rPr>
          <w:rFonts w:ascii="Caveat" w:eastAsia="Caveat" w:hAnsi="Caveat" w:cs="Caveat"/>
          <w:color w:val="000000"/>
          <w:sz w:val="22"/>
          <w:szCs w:val="22"/>
        </w:rPr>
        <w:t>des Écritures de la sainteté.</w:t>
      </w:r>
    </w:p>
    <w:p w14:paraId="00000051" w14:textId="77777777"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 xml:space="preserve">Le nom de Dieu ne figure pas dans le rouleau d’Esther car </w:t>
      </w:r>
      <w:r>
        <w:rPr>
          <w:rFonts w:ascii="Caveat" w:eastAsia="Caveat" w:hAnsi="Caveat" w:cs="Caveat"/>
          <w:sz w:val="22"/>
          <w:szCs w:val="22"/>
        </w:rPr>
        <w:t>l</w:t>
      </w:r>
      <w:r>
        <w:rPr>
          <w:rFonts w:ascii="Caveat" w:eastAsia="Caveat" w:hAnsi="Caveat" w:cs="Caveat"/>
          <w:color w:val="000000"/>
          <w:sz w:val="22"/>
          <w:szCs w:val="22"/>
        </w:rPr>
        <w:t xml:space="preserve">a </w:t>
      </w:r>
      <w:r>
        <w:rPr>
          <w:rFonts w:ascii="Caveat" w:eastAsia="Caveat" w:hAnsi="Caveat" w:cs="Caveat"/>
          <w:sz w:val="22"/>
          <w:szCs w:val="22"/>
        </w:rPr>
        <w:t>genèse</w:t>
      </w:r>
      <w:r>
        <w:rPr>
          <w:rFonts w:ascii="Caveat" w:eastAsia="Caveat" w:hAnsi="Caveat" w:cs="Caveat"/>
          <w:color w:val="000000"/>
          <w:sz w:val="22"/>
          <w:szCs w:val="22"/>
        </w:rPr>
        <w:t xml:space="preserve"> de son écriture ne l’autorisait pas. Ayant été envoyé comme un édit royal, ce texte ne comporte pas le nom de Dieu, car ce n’est pas un support qu’on va forcé</w:t>
      </w:r>
      <w:r>
        <w:rPr>
          <w:rFonts w:ascii="Caveat" w:eastAsia="Caveat" w:hAnsi="Caveat" w:cs="Caveat"/>
          <w:color w:val="000000"/>
          <w:sz w:val="22"/>
          <w:szCs w:val="22"/>
        </w:rPr>
        <w:t xml:space="preserve">ment protéger de la destruction. Ce qui a donné au rouleau d’Esther le rang d’Écriture de la sainteté, c’est parce qu’il a été reçu par tous les juifs du royaume comme un texte à déclamer, à l’égal des autres livres d’Écritures de la sainteté. </w:t>
      </w:r>
    </w:p>
    <w:p w14:paraId="00000052" w14:textId="77777777"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Cette parti</w:t>
      </w:r>
      <w:r>
        <w:rPr>
          <w:rFonts w:ascii="Caveat" w:eastAsia="Caveat" w:hAnsi="Caveat" w:cs="Caveat"/>
          <w:color w:val="000000"/>
          <w:sz w:val="22"/>
          <w:szCs w:val="22"/>
        </w:rPr>
        <w:t>cularité du livre d’Esther est soulignée par Rambam, Démarches de la Meguila 2.18.</w:t>
      </w:r>
    </w:p>
    <w:p w14:paraId="00000053" w14:textId="634D5AF2" w:rsidR="00CC049E" w:rsidRDefault="002F3359">
      <w:pPr>
        <w:pBdr>
          <w:top w:val="nil"/>
          <w:left w:val="nil"/>
          <w:bottom w:val="nil"/>
          <w:right w:val="nil"/>
          <w:between w:val="nil"/>
        </w:pBdr>
        <w:rPr>
          <w:rFonts w:ascii="Caveat" w:eastAsia="Caveat" w:hAnsi="Caveat" w:cs="Caveat"/>
          <w:sz w:val="22"/>
          <w:szCs w:val="22"/>
        </w:rPr>
      </w:pPr>
      <w:r>
        <w:rPr>
          <w:rFonts w:ascii="Caveat" w:eastAsia="Caveat" w:hAnsi="Caveat" w:cs="Caveat"/>
          <w:sz w:val="22"/>
          <w:szCs w:val="22"/>
        </w:rPr>
        <w:t xml:space="preserve">Tous les récits-en-livres des prophètes ainsi que toutes les Ecritures de la Sainteté seront déconsidéré dans l’avenir, </w:t>
      </w:r>
      <w:r w:rsidR="00074125">
        <w:rPr>
          <w:rFonts w:ascii="Caveat" w:eastAsia="Caveat" w:hAnsi="Caveat" w:cs="Caveat"/>
          <w:sz w:val="22"/>
          <w:szCs w:val="22"/>
        </w:rPr>
        <w:t>à</w:t>
      </w:r>
      <w:r>
        <w:rPr>
          <w:rFonts w:ascii="Caveat" w:eastAsia="Caveat" w:hAnsi="Caveat" w:cs="Caveat"/>
          <w:sz w:val="22"/>
          <w:szCs w:val="22"/>
        </w:rPr>
        <w:t xml:space="preserve"> l’époque du Messie, sauf le rouleau d’Esther. Lui, </w:t>
      </w:r>
      <w:r>
        <w:rPr>
          <w:rFonts w:ascii="Caveat" w:eastAsia="Caveat" w:hAnsi="Caveat" w:cs="Caveat"/>
          <w:sz w:val="22"/>
          <w:szCs w:val="22"/>
        </w:rPr>
        <w:t>sera maintenu comme seront maintenus les cinq livres-en-récits de la Tora et comme les démarches (règles a suivre) de la Tora-orale, qui ne sont jamais susceptibles d'être déconsidérées.</w:t>
      </w:r>
    </w:p>
    <w:p w14:paraId="00000054" w14:textId="31740565" w:rsidR="00CC049E" w:rsidRDefault="002F3359">
      <w:pPr>
        <w:pBdr>
          <w:top w:val="nil"/>
          <w:left w:val="nil"/>
          <w:bottom w:val="nil"/>
          <w:right w:val="nil"/>
          <w:between w:val="nil"/>
        </w:pBdr>
        <w:rPr>
          <w:rFonts w:ascii="Caveat" w:eastAsia="Caveat" w:hAnsi="Caveat" w:cs="Caveat"/>
          <w:sz w:val="22"/>
          <w:szCs w:val="22"/>
        </w:rPr>
      </w:pPr>
      <w:r>
        <w:rPr>
          <w:rFonts w:ascii="Caveat" w:eastAsia="Caveat" w:hAnsi="Caveat" w:cs="Caveat"/>
          <w:sz w:val="22"/>
          <w:szCs w:val="22"/>
        </w:rPr>
        <w:t>Malgré que la mémoire du souvenir des diverses oppressions sera compl</w:t>
      </w:r>
      <w:r>
        <w:rPr>
          <w:rFonts w:ascii="Caveat" w:eastAsia="Caveat" w:hAnsi="Caveat" w:cs="Caveat"/>
          <w:sz w:val="22"/>
          <w:szCs w:val="22"/>
        </w:rPr>
        <w:t xml:space="preserve">ètement déconsidérée, comme il est dit (Yechaya </w:t>
      </w:r>
      <w:r w:rsidR="00074125">
        <w:rPr>
          <w:rFonts w:ascii="Caveat" w:eastAsia="Caveat" w:hAnsi="Caveat" w:cs="Caveat"/>
          <w:sz w:val="22"/>
          <w:szCs w:val="22"/>
        </w:rPr>
        <w:t>65 ;</w:t>
      </w:r>
      <w:r>
        <w:rPr>
          <w:rFonts w:ascii="Caveat" w:eastAsia="Caveat" w:hAnsi="Caveat" w:cs="Caveat"/>
          <w:sz w:val="22"/>
          <w:szCs w:val="22"/>
        </w:rPr>
        <w:t>16) :</w:t>
      </w:r>
    </w:p>
    <w:p w14:paraId="00000055" w14:textId="3F4E6873" w:rsidR="00CC049E" w:rsidRDefault="002F3359">
      <w:pPr>
        <w:pBdr>
          <w:top w:val="nil"/>
          <w:left w:val="nil"/>
          <w:bottom w:val="nil"/>
          <w:right w:val="nil"/>
          <w:between w:val="nil"/>
        </w:pBdr>
        <w:rPr>
          <w:rFonts w:ascii="Caveat" w:eastAsia="Caveat" w:hAnsi="Caveat" w:cs="Caveat"/>
          <w:sz w:val="22"/>
          <w:szCs w:val="22"/>
        </w:rPr>
      </w:pPr>
      <w:r>
        <w:rPr>
          <w:rFonts w:ascii="Caveat" w:eastAsia="Caveat" w:hAnsi="Caveat" w:cs="Caveat"/>
          <w:sz w:val="22"/>
          <w:szCs w:val="22"/>
        </w:rPr>
        <w:t xml:space="preserve">“Car les oppressions premières seront oubliées”, les jours de Pourim ne seront pas déconsidérés comme il est dit (Esther </w:t>
      </w:r>
      <w:r w:rsidR="00074125">
        <w:rPr>
          <w:rFonts w:ascii="Caveat" w:eastAsia="Caveat" w:hAnsi="Caveat" w:cs="Caveat"/>
          <w:sz w:val="22"/>
          <w:szCs w:val="22"/>
        </w:rPr>
        <w:t>9 ;</w:t>
      </w:r>
      <w:r>
        <w:rPr>
          <w:rFonts w:ascii="Caveat" w:eastAsia="Caveat" w:hAnsi="Caveat" w:cs="Caveat"/>
          <w:sz w:val="22"/>
          <w:szCs w:val="22"/>
        </w:rPr>
        <w:t>28) :</w:t>
      </w:r>
    </w:p>
    <w:p w14:paraId="00000056" w14:textId="77777777" w:rsidR="00CC049E" w:rsidRDefault="002F3359">
      <w:pPr>
        <w:pBdr>
          <w:top w:val="nil"/>
          <w:left w:val="nil"/>
          <w:bottom w:val="nil"/>
          <w:right w:val="nil"/>
          <w:between w:val="nil"/>
        </w:pBdr>
        <w:rPr>
          <w:rFonts w:ascii="Caveat" w:eastAsia="Caveat" w:hAnsi="Caveat" w:cs="Caveat"/>
          <w:sz w:val="22"/>
          <w:szCs w:val="22"/>
        </w:rPr>
      </w:pPr>
      <w:r>
        <w:rPr>
          <w:rFonts w:ascii="Caveat" w:eastAsia="Caveat" w:hAnsi="Caveat" w:cs="Caveat"/>
          <w:sz w:val="22"/>
          <w:szCs w:val="22"/>
        </w:rPr>
        <w:t>“Les jours de Pourim que voilà ne passeront pas de l'intérieur des jui</w:t>
      </w:r>
      <w:r>
        <w:rPr>
          <w:rFonts w:ascii="Caveat" w:eastAsia="Caveat" w:hAnsi="Caveat" w:cs="Caveat"/>
          <w:sz w:val="22"/>
          <w:szCs w:val="22"/>
        </w:rPr>
        <w:t xml:space="preserve">fs, et leur souvenir ne s'interrompra pas de leur descendance”. </w:t>
      </w:r>
    </w:p>
    <w:p w14:paraId="00000057"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58"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59" w14:textId="77777777" w:rsidR="00CC049E" w:rsidRDefault="002F3359">
      <w:pPr>
        <w:keepNext/>
        <w:pBdr>
          <w:top w:val="nil"/>
          <w:left w:val="nil"/>
          <w:bottom w:val="nil"/>
          <w:right w:val="nil"/>
          <w:between w:val="nil"/>
        </w:pBdr>
        <w:jc w:val="center"/>
        <w:rPr>
          <w:rFonts w:ascii="Caveat" w:eastAsia="Caveat" w:hAnsi="Caveat" w:cs="Caveat"/>
          <w:b/>
          <w:color w:val="000000"/>
          <w:sz w:val="60"/>
          <w:szCs w:val="60"/>
        </w:rPr>
      </w:pPr>
      <w:r>
        <w:rPr>
          <w:rFonts w:ascii="Caveat" w:eastAsia="Caveat" w:hAnsi="Caveat" w:cs="Caveat"/>
          <w:b/>
          <w:color w:val="000000"/>
          <w:sz w:val="60"/>
          <w:szCs w:val="60"/>
        </w:rPr>
        <w:t>Le récit Esthérien</w:t>
      </w:r>
    </w:p>
    <w:p w14:paraId="0000005A" w14:textId="77777777" w:rsidR="00CC049E" w:rsidRDefault="002F3359">
      <w:pPr>
        <w:keepNext/>
        <w:pBdr>
          <w:top w:val="nil"/>
          <w:left w:val="nil"/>
          <w:bottom w:val="nil"/>
          <w:right w:val="nil"/>
          <w:between w:val="nil"/>
        </w:pBdr>
        <w:jc w:val="center"/>
        <w:rPr>
          <w:rFonts w:ascii="Caveat" w:eastAsia="Caveat" w:hAnsi="Caveat" w:cs="Caveat"/>
          <w:color w:val="000000"/>
          <w:sz w:val="40"/>
          <w:szCs w:val="40"/>
        </w:rPr>
      </w:pPr>
      <w:r>
        <w:rPr>
          <w:rFonts w:ascii="Caveat" w:eastAsia="Caveat" w:hAnsi="Caveat" w:cs="Caveat"/>
          <w:color w:val="000000"/>
          <w:sz w:val="40"/>
          <w:szCs w:val="40"/>
        </w:rPr>
        <w:t>Cinq pièces de chancellerie*</w:t>
      </w:r>
    </w:p>
    <w:p w14:paraId="0000005B" w14:textId="77777777" w:rsidR="00CC049E" w:rsidRDefault="002F3359">
      <w:pPr>
        <w:keepNext/>
        <w:pBdr>
          <w:top w:val="nil"/>
          <w:left w:val="nil"/>
          <w:bottom w:val="nil"/>
          <w:right w:val="nil"/>
          <w:between w:val="nil"/>
        </w:pBdr>
        <w:jc w:val="center"/>
        <w:rPr>
          <w:rFonts w:ascii="Caveat" w:eastAsia="Caveat" w:hAnsi="Caveat" w:cs="Caveat"/>
          <w:color w:val="000000"/>
          <w:sz w:val="16"/>
          <w:szCs w:val="16"/>
        </w:rPr>
      </w:pPr>
      <w:r>
        <w:rPr>
          <w:rFonts w:ascii="Caveat" w:eastAsia="Caveat" w:hAnsi="Caveat" w:cs="Caveat"/>
          <w:color w:val="000000"/>
          <w:sz w:val="16"/>
          <w:szCs w:val="16"/>
        </w:rPr>
        <w:t>*du latin cancellarius: fonctionnaire royal ayant la garde et la disposition du sceau.</w:t>
      </w:r>
    </w:p>
    <w:p w14:paraId="0000005C"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5D"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5E" w14:textId="646141DE" w:rsidR="00CC049E" w:rsidRDefault="00074125">
      <w:pPr>
        <w:pBdr>
          <w:top w:val="nil"/>
          <w:left w:val="nil"/>
          <w:bottom w:val="nil"/>
          <w:right w:val="nil"/>
          <w:between w:val="nil"/>
        </w:pBdr>
        <w:rPr>
          <w:rFonts w:ascii="Caveat" w:eastAsia="Caveat" w:hAnsi="Caveat" w:cs="Caveat"/>
          <w:b/>
          <w:color w:val="000000"/>
          <w:sz w:val="22"/>
          <w:szCs w:val="22"/>
          <w:u w:val="single"/>
        </w:rPr>
      </w:pPr>
      <w:r>
        <w:rPr>
          <w:rFonts w:ascii="Caveat" w:eastAsia="Caveat" w:hAnsi="Caveat" w:cs="Caveat"/>
          <w:b/>
          <w:color w:val="000000"/>
          <w:sz w:val="22"/>
          <w:szCs w:val="22"/>
          <w:u w:val="single"/>
        </w:rPr>
        <w:t>Introduction :</w:t>
      </w:r>
    </w:p>
    <w:p w14:paraId="0000005F"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60" w14:textId="4F6233AC"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 xml:space="preserve">C’est </w:t>
      </w:r>
      <w:r w:rsidR="00074125">
        <w:rPr>
          <w:rFonts w:ascii="Caveat" w:eastAsia="Caveat" w:hAnsi="Caveat" w:cs="Caveat"/>
          <w:color w:val="000000"/>
          <w:sz w:val="22"/>
          <w:szCs w:val="22"/>
        </w:rPr>
        <w:t>une recommandation dite</w:t>
      </w:r>
      <w:r>
        <w:rPr>
          <w:rFonts w:ascii="Caveat" w:eastAsia="Caveat" w:hAnsi="Caveat" w:cs="Caveat"/>
          <w:color w:val="000000"/>
          <w:sz w:val="22"/>
          <w:szCs w:val="22"/>
        </w:rPr>
        <w:t xml:space="preserve"> au nom de la Torah pour chaque juif </w:t>
      </w:r>
      <w:r>
        <w:rPr>
          <w:rFonts w:ascii="Caveat" w:eastAsia="Caveat" w:hAnsi="Caveat" w:cs="Caveat"/>
          <w:sz w:val="22"/>
          <w:szCs w:val="22"/>
        </w:rPr>
        <w:t>d'écrire</w:t>
      </w:r>
      <w:r>
        <w:rPr>
          <w:rFonts w:ascii="Caveat" w:eastAsia="Caveat" w:hAnsi="Caveat" w:cs="Caveat"/>
          <w:color w:val="000000"/>
          <w:sz w:val="22"/>
          <w:szCs w:val="22"/>
        </w:rPr>
        <w:t xml:space="preserve"> à son intention un rouleau complet des cinq livres de la Torah de Moshé notre maître. Les cinq rouleaux de la Torah peuvent s’écrire sur 248 colonnes de 42 lignes. Ce qui représente un long travail de copie (de 3 mois pour les plus diligents à un an pour </w:t>
      </w:r>
      <w:r>
        <w:rPr>
          <w:rFonts w:ascii="Caveat" w:eastAsia="Caveat" w:hAnsi="Caveat" w:cs="Caveat"/>
          <w:color w:val="000000"/>
          <w:sz w:val="22"/>
          <w:szCs w:val="22"/>
        </w:rPr>
        <w:t xml:space="preserve">le scribe moyen). </w:t>
      </w:r>
    </w:p>
    <w:p w14:paraId="00000061" w14:textId="77777777"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Pourtant cette recommandation n’est pas accomplie par la majeure partie et seuls quelques individus ont accompli cette recommandation.</w:t>
      </w:r>
    </w:p>
    <w:p w14:paraId="00000062" w14:textId="77777777"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Le rouleau d’Esther est, sur les 24 livres des Écritures de la sainteté, celui qui est le plus recopié</w:t>
      </w:r>
      <w:r>
        <w:rPr>
          <w:rFonts w:ascii="Caveat" w:eastAsia="Caveat" w:hAnsi="Caveat" w:cs="Caveat"/>
          <w:color w:val="000000"/>
          <w:sz w:val="22"/>
          <w:szCs w:val="22"/>
        </w:rPr>
        <w:t>. Un très grand nombre de familles possède une copie manuscrite de la lettre de Pourim.</w:t>
      </w:r>
    </w:p>
    <w:p w14:paraId="00000063"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64" w14:textId="77777777" w:rsidR="00CC049E" w:rsidRDefault="002F3359">
      <w:pPr>
        <w:keepNext/>
        <w:pBdr>
          <w:top w:val="nil"/>
          <w:left w:val="nil"/>
          <w:bottom w:val="nil"/>
          <w:right w:val="nil"/>
          <w:between w:val="nil"/>
        </w:pBdr>
        <w:rPr>
          <w:rFonts w:ascii="Caveat" w:eastAsia="Caveat" w:hAnsi="Caveat" w:cs="Caveat"/>
          <w:b/>
          <w:color w:val="000000"/>
          <w:sz w:val="36"/>
          <w:szCs w:val="36"/>
        </w:rPr>
      </w:pPr>
      <w:r>
        <w:rPr>
          <w:rFonts w:ascii="Caveat" w:eastAsia="Caveat" w:hAnsi="Caveat" w:cs="Caveat"/>
          <w:b/>
          <w:color w:val="000000"/>
          <w:sz w:val="36"/>
          <w:szCs w:val="36"/>
        </w:rPr>
        <w:t>Les cinq pièces de chancellerie du récit esthérien.</w:t>
      </w:r>
    </w:p>
    <w:p w14:paraId="00000065"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66" w14:textId="61447084" w:rsidR="00CC049E" w:rsidRDefault="002F3359">
      <w:pPr>
        <w:numPr>
          <w:ilvl w:val="0"/>
          <w:numId w:val="1"/>
        </w:numPr>
        <w:pBdr>
          <w:top w:val="nil"/>
          <w:left w:val="nil"/>
          <w:bottom w:val="nil"/>
          <w:right w:val="nil"/>
          <w:between w:val="nil"/>
        </w:pBdr>
        <w:rPr>
          <w:rFonts w:ascii="Caveat" w:eastAsia="Caveat" w:hAnsi="Caveat" w:cs="Caveat"/>
          <w:color w:val="000000"/>
        </w:rPr>
      </w:pPr>
      <w:r>
        <w:rPr>
          <w:rFonts w:ascii="Caveat" w:eastAsia="Caveat" w:hAnsi="Caveat" w:cs="Caveat"/>
          <w:color w:val="000000"/>
          <w:sz w:val="22"/>
          <w:szCs w:val="22"/>
          <w:u w:val="single"/>
        </w:rPr>
        <w:t xml:space="preserve">Chapitre 1. Versets 19 et </w:t>
      </w:r>
      <w:r w:rsidR="00074125">
        <w:rPr>
          <w:rFonts w:ascii="Caveat" w:eastAsia="Caveat" w:hAnsi="Caveat" w:cs="Caveat"/>
          <w:color w:val="000000"/>
          <w:sz w:val="22"/>
          <w:szCs w:val="22"/>
          <w:u w:val="single"/>
        </w:rPr>
        <w:t>22 :</w:t>
      </w:r>
    </w:p>
    <w:p w14:paraId="00000067" w14:textId="1B056D90"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La parole directrice souveraine émane de devant le souverain. Il est inscrit dans les lois de Perse et de Médie sans que cela ne puisse être outrepassé. Il fait envoyer des Supers Supports à toutes les provinces du Roi. Chaque province selon son écriture e</w:t>
      </w:r>
      <w:r>
        <w:rPr>
          <w:rFonts w:ascii="Caveat" w:eastAsia="Caveat" w:hAnsi="Caveat" w:cs="Caveat"/>
          <w:color w:val="000000"/>
          <w:sz w:val="22"/>
          <w:szCs w:val="22"/>
        </w:rPr>
        <w:t xml:space="preserve">t à chaque peuple selon sa </w:t>
      </w:r>
      <w:r w:rsidR="00074125">
        <w:rPr>
          <w:rFonts w:ascii="Caveat" w:eastAsia="Caveat" w:hAnsi="Caveat" w:cs="Caveat"/>
          <w:color w:val="000000"/>
          <w:sz w:val="22"/>
          <w:szCs w:val="22"/>
        </w:rPr>
        <w:t>langue :</w:t>
      </w:r>
    </w:p>
    <w:p w14:paraId="00000068" w14:textId="77777777"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ÊTRE POUR L’HOMME DOMINANT DANS SA MAISON ET PARLANT COMME L’IDIOME DE SON PEUPLE.</w:t>
      </w:r>
    </w:p>
    <w:p w14:paraId="00000069"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6A" w14:textId="6838FEEA" w:rsidR="00CC049E" w:rsidRDefault="002F3359">
      <w:pPr>
        <w:numPr>
          <w:ilvl w:val="0"/>
          <w:numId w:val="1"/>
        </w:numPr>
        <w:pBdr>
          <w:top w:val="nil"/>
          <w:left w:val="nil"/>
          <w:bottom w:val="nil"/>
          <w:right w:val="nil"/>
          <w:between w:val="nil"/>
        </w:pBdr>
        <w:rPr>
          <w:rFonts w:ascii="Caveat" w:eastAsia="Caveat" w:hAnsi="Caveat" w:cs="Caveat"/>
          <w:color w:val="000000"/>
        </w:rPr>
      </w:pPr>
      <w:r>
        <w:rPr>
          <w:rFonts w:ascii="Caveat" w:eastAsia="Caveat" w:hAnsi="Caveat" w:cs="Caveat"/>
          <w:color w:val="000000"/>
          <w:sz w:val="22"/>
          <w:szCs w:val="22"/>
          <w:u w:val="single"/>
        </w:rPr>
        <w:t xml:space="preserve">Chapitre 3. Versets 12 et </w:t>
      </w:r>
      <w:r w:rsidR="00074125">
        <w:rPr>
          <w:rFonts w:ascii="Caveat" w:eastAsia="Caveat" w:hAnsi="Caveat" w:cs="Caveat"/>
          <w:color w:val="000000"/>
          <w:sz w:val="22"/>
          <w:szCs w:val="22"/>
          <w:u w:val="single"/>
        </w:rPr>
        <w:t>13 :</w:t>
      </w:r>
    </w:p>
    <w:p w14:paraId="0000006B" w14:textId="77777777"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lastRenderedPageBreak/>
        <w:t>Ils sont rassemblés les scribes du roi au premier mois le treizième jour d’icelui. Il fût rédigé en écritur</w:t>
      </w:r>
      <w:r>
        <w:rPr>
          <w:rFonts w:ascii="Caveat" w:eastAsia="Caveat" w:hAnsi="Caveat" w:cs="Caveat"/>
          <w:color w:val="000000"/>
          <w:sz w:val="22"/>
          <w:szCs w:val="22"/>
        </w:rPr>
        <w:t>e comme tout ce qu’assurément Haman a recommandé aux A’hash-darpan du roi, aux satrapes qui s’assurent de chaque province juridique ainsi qu’aux princes de chaque peuple, chaque circonscription selon son écriture et chaque peuple selon sa langue. Au nom du</w:t>
      </w:r>
      <w:r>
        <w:rPr>
          <w:rFonts w:ascii="Caveat" w:eastAsia="Caveat" w:hAnsi="Caveat" w:cs="Caveat"/>
          <w:color w:val="000000"/>
          <w:sz w:val="22"/>
          <w:szCs w:val="22"/>
        </w:rPr>
        <w:t xml:space="preserve"> roi A’hashveroch c’est écrit et signé avec le sceau du roi.</w:t>
      </w:r>
    </w:p>
    <w:p w14:paraId="0000006C" w14:textId="632C1679"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 xml:space="preserve">13. Et d’envoyer des supports écrits par l'intermédiaire des coursiers à toutes les provinces </w:t>
      </w:r>
      <w:r w:rsidR="00074125">
        <w:rPr>
          <w:rFonts w:ascii="Caveat" w:eastAsia="Caveat" w:hAnsi="Caveat" w:cs="Caveat"/>
          <w:color w:val="000000"/>
          <w:sz w:val="22"/>
          <w:szCs w:val="22"/>
        </w:rPr>
        <w:t>royales :</w:t>
      </w:r>
      <w:r>
        <w:rPr>
          <w:rFonts w:ascii="Caveat" w:eastAsia="Caveat" w:hAnsi="Caveat" w:cs="Caveat"/>
          <w:color w:val="000000"/>
          <w:sz w:val="22"/>
          <w:szCs w:val="22"/>
        </w:rPr>
        <w:t xml:space="preserve"> </w:t>
      </w:r>
    </w:p>
    <w:p w14:paraId="0000006D" w14:textId="77777777"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 xml:space="preserve">D’EXTERMINER, ASSASSINER ET </w:t>
      </w:r>
      <w:r>
        <w:rPr>
          <w:rFonts w:ascii="Caveat" w:eastAsia="Caveat" w:hAnsi="Caveat" w:cs="Caveat"/>
          <w:sz w:val="22"/>
          <w:szCs w:val="22"/>
        </w:rPr>
        <w:t>DÉTRUIRE</w:t>
      </w:r>
      <w:r>
        <w:rPr>
          <w:rFonts w:ascii="Caveat" w:eastAsia="Caveat" w:hAnsi="Caveat" w:cs="Caveat"/>
          <w:color w:val="000000"/>
          <w:sz w:val="22"/>
          <w:szCs w:val="22"/>
        </w:rPr>
        <w:t xml:space="preserve"> TOUS LES JUIFS, JEUNES ET VIEUX, ENFANTS ET FEMMES, E</w:t>
      </w:r>
      <w:r>
        <w:rPr>
          <w:rFonts w:ascii="Caveat" w:eastAsia="Caveat" w:hAnsi="Caveat" w:cs="Caveat"/>
          <w:sz w:val="22"/>
          <w:szCs w:val="22"/>
        </w:rPr>
        <w:t>N</w:t>
      </w:r>
      <w:r>
        <w:rPr>
          <w:rFonts w:ascii="Caveat" w:eastAsia="Caveat" w:hAnsi="Caveat" w:cs="Caveat"/>
          <w:color w:val="000000"/>
          <w:sz w:val="22"/>
          <w:szCs w:val="22"/>
        </w:rPr>
        <w:t xml:space="preserve"> UN SEUL JOUR ET FAIRE MAIN BASSE SUR LEUR </w:t>
      </w:r>
      <w:r>
        <w:rPr>
          <w:rFonts w:ascii="Caveat" w:eastAsia="Caveat" w:hAnsi="Caveat" w:cs="Caveat"/>
          <w:sz w:val="22"/>
          <w:szCs w:val="22"/>
        </w:rPr>
        <w:t>DÉPOUILLE</w:t>
      </w:r>
      <w:r>
        <w:rPr>
          <w:rFonts w:ascii="Caveat" w:eastAsia="Caveat" w:hAnsi="Caveat" w:cs="Caveat"/>
          <w:color w:val="000000"/>
          <w:sz w:val="22"/>
          <w:szCs w:val="22"/>
        </w:rPr>
        <w:t>.</w:t>
      </w:r>
    </w:p>
    <w:p w14:paraId="0000006E"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6F" w14:textId="68D6BF89" w:rsidR="00CC049E" w:rsidRDefault="002F3359">
      <w:pPr>
        <w:numPr>
          <w:ilvl w:val="0"/>
          <w:numId w:val="1"/>
        </w:numPr>
        <w:pBdr>
          <w:top w:val="nil"/>
          <w:left w:val="nil"/>
          <w:bottom w:val="nil"/>
          <w:right w:val="nil"/>
          <w:between w:val="nil"/>
        </w:pBdr>
        <w:rPr>
          <w:rFonts w:ascii="Caveat" w:eastAsia="Caveat" w:hAnsi="Caveat" w:cs="Caveat"/>
          <w:color w:val="000000"/>
        </w:rPr>
      </w:pPr>
      <w:r>
        <w:rPr>
          <w:rFonts w:ascii="Caveat" w:eastAsia="Caveat" w:hAnsi="Caveat" w:cs="Caveat"/>
          <w:color w:val="000000"/>
          <w:sz w:val="22"/>
          <w:szCs w:val="22"/>
          <w:u w:val="single"/>
        </w:rPr>
        <w:t xml:space="preserve">Chapitre 8. Versets 9 à </w:t>
      </w:r>
      <w:r w:rsidR="00074125">
        <w:rPr>
          <w:rFonts w:ascii="Caveat" w:eastAsia="Caveat" w:hAnsi="Caveat" w:cs="Caveat"/>
          <w:color w:val="000000"/>
          <w:sz w:val="22"/>
          <w:szCs w:val="22"/>
          <w:u w:val="single"/>
        </w:rPr>
        <w:t>11 :</w:t>
      </w:r>
    </w:p>
    <w:p w14:paraId="00000070" w14:textId="77777777"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Les scribes du roi furent rassemblés en ces temps-là le troisième mois, c’est le moi de Sivan, le vingt-troisième jour d’icelui. Il fût rédigé comme tout ce qu’assurément Mordekhaï a recommandé aux juifs et aux A’hash-darpan, aux satrapes et aux princes de</w:t>
      </w:r>
      <w:r>
        <w:rPr>
          <w:rFonts w:ascii="Caveat" w:eastAsia="Caveat" w:hAnsi="Caveat" w:cs="Caveat"/>
          <w:color w:val="000000"/>
          <w:sz w:val="22"/>
          <w:szCs w:val="22"/>
        </w:rPr>
        <w:t>s provinces juridiques. Chaque province juridique selon son écriture et chaque peuple selon sa langue. Pour les juifs, selon leur écriture et leur langue. Il écrit au nom du roi A’hashvéroch et il signe du sceau du roi. Il envoie les libellés par l'intermé</w:t>
      </w:r>
      <w:r>
        <w:rPr>
          <w:rFonts w:ascii="Caveat" w:eastAsia="Caveat" w:hAnsi="Caveat" w:cs="Caveat"/>
          <w:color w:val="000000"/>
          <w:sz w:val="22"/>
          <w:szCs w:val="22"/>
        </w:rPr>
        <w:t xml:space="preserve">diaire de coursiers à chevaux chevauchants le patrimoine du rapide explorateur fils de Ramekh. LE ROI A DONNE AUX JUIFS DE CHAQUE VILLE DE SE RASSEMBLER ET SE TENIR VIGILANT DE LEUR PERSONNE, POUR </w:t>
      </w:r>
      <w:r>
        <w:rPr>
          <w:rFonts w:ascii="Caveat" w:eastAsia="Caveat" w:hAnsi="Caveat" w:cs="Caveat"/>
          <w:sz w:val="22"/>
          <w:szCs w:val="22"/>
        </w:rPr>
        <w:t>EXTERMINER ET</w:t>
      </w:r>
      <w:r>
        <w:rPr>
          <w:rFonts w:ascii="Caveat" w:eastAsia="Caveat" w:hAnsi="Caveat" w:cs="Caveat"/>
          <w:color w:val="000000"/>
          <w:sz w:val="22"/>
          <w:szCs w:val="22"/>
        </w:rPr>
        <w:t xml:space="preserve"> TUER ET </w:t>
      </w:r>
      <w:r>
        <w:rPr>
          <w:rFonts w:ascii="Caveat" w:eastAsia="Caveat" w:hAnsi="Caveat" w:cs="Caveat"/>
          <w:sz w:val="22"/>
          <w:szCs w:val="22"/>
        </w:rPr>
        <w:t>DÉTRUIRE</w:t>
      </w:r>
      <w:r>
        <w:rPr>
          <w:rFonts w:ascii="Caveat" w:eastAsia="Caveat" w:hAnsi="Caveat" w:cs="Caveat"/>
          <w:color w:val="000000"/>
          <w:sz w:val="22"/>
          <w:szCs w:val="22"/>
        </w:rPr>
        <w:t xml:space="preserve"> TOUTE TROUPE D’UN PEUPLE, D’</w:t>
      </w:r>
      <w:r>
        <w:rPr>
          <w:rFonts w:ascii="Caveat" w:eastAsia="Caveat" w:hAnsi="Caveat" w:cs="Caveat"/>
          <w:color w:val="000000"/>
          <w:sz w:val="22"/>
          <w:szCs w:val="22"/>
        </w:rPr>
        <w:t>UNE PROVINCE JURIDIQUE QUI LES OPPRESSENT, ENFANTS ET FEMMES</w:t>
      </w:r>
      <w:r>
        <w:rPr>
          <w:rFonts w:ascii="Caveat" w:eastAsia="Caveat" w:hAnsi="Caveat" w:cs="Caveat"/>
          <w:sz w:val="22"/>
          <w:szCs w:val="22"/>
        </w:rPr>
        <w:t>,</w:t>
      </w:r>
      <w:r>
        <w:rPr>
          <w:rFonts w:ascii="Caveat" w:eastAsia="Caveat" w:hAnsi="Caveat" w:cs="Caveat"/>
          <w:color w:val="000000"/>
          <w:sz w:val="22"/>
          <w:szCs w:val="22"/>
        </w:rPr>
        <w:t xml:space="preserve"> ET FAIRE MAIN BASSE SUR LEUR BUTIN.</w:t>
      </w:r>
    </w:p>
    <w:p w14:paraId="00000071"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72"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73" w14:textId="77777777" w:rsidR="00CC049E" w:rsidRDefault="00CC049E">
      <w:pPr>
        <w:pBdr>
          <w:top w:val="nil"/>
          <w:left w:val="nil"/>
          <w:bottom w:val="nil"/>
          <w:right w:val="nil"/>
          <w:between w:val="nil"/>
        </w:pBdr>
        <w:ind w:left="240"/>
        <w:rPr>
          <w:rFonts w:ascii="Caveat" w:eastAsia="Caveat" w:hAnsi="Caveat" w:cs="Caveat"/>
          <w:sz w:val="22"/>
          <w:szCs w:val="22"/>
          <w:u w:val="single"/>
        </w:rPr>
      </w:pPr>
    </w:p>
    <w:p w14:paraId="00000074" w14:textId="4E1C7DBC" w:rsidR="00CC049E" w:rsidRDefault="002F3359">
      <w:pPr>
        <w:numPr>
          <w:ilvl w:val="0"/>
          <w:numId w:val="1"/>
        </w:numPr>
        <w:pBdr>
          <w:top w:val="nil"/>
          <w:left w:val="nil"/>
          <w:bottom w:val="nil"/>
          <w:right w:val="nil"/>
          <w:between w:val="nil"/>
        </w:pBdr>
        <w:rPr>
          <w:rFonts w:ascii="Caveat" w:eastAsia="Caveat" w:hAnsi="Caveat" w:cs="Caveat"/>
          <w:color w:val="000000"/>
        </w:rPr>
      </w:pPr>
      <w:r>
        <w:rPr>
          <w:rFonts w:ascii="Caveat" w:eastAsia="Caveat" w:hAnsi="Caveat" w:cs="Caveat"/>
          <w:color w:val="000000"/>
          <w:sz w:val="22"/>
          <w:szCs w:val="22"/>
          <w:u w:val="single"/>
        </w:rPr>
        <w:t xml:space="preserve">Chapitre 9. Versets 20 à </w:t>
      </w:r>
      <w:r w:rsidR="00074125">
        <w:rPr>
          <w:rFonts w:ascii="Caveat" w:eastAsia="Caveat" w:hAnsi="Caveat" w:cs="Caveat"/>
          <w:color w:val="000000"/>
          <w:sz w:val="22"/>
          <w:szCs w:val="22"/>
          <w:u w:val="single"/>
        </w:rPr>
        <w:t>22 :</w:t>
      </w:r>
    </w:p>
    <w:p w14:paraId="00000075" w14:textId="75033EC1"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Mordekhaï écrit ces paroles-là. Il envoie des supports de récits à tous les juifs qui assurent toutes les provinces juridiques du roi A’hashverosh, les proches et les</w:t>
      </w:r>
      <w:r w:rsidR="00074125">
        <w:rPr>
          <w:rFonts w:ascii="Caveat" w:eastAsia="Caveat" w:hAnsi="Caveat" w:cs="Caveat"/>
          <w:color w:val="000000"/>
          <w:sz w:val="22"/>
          <w:szCs w:val="22"/>
        </w:rPr>
        <w:t xml:space="preserve"> lointains :</w:t>
      </w:r>
    </w:p>
    <w:p w14:paraId="00000076" w14:textId="77777777"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 xml:space="preserve">DE MAINTENIR SUR EUX D’ÊTRE REALISANT LE JOUR DU 14 ADAR ET LE JOUR DU 15 </w:t>
      </w:r>
      <w:r>
        <w:rPr>
          <w:rFonts w:ascii="Caveat" w:eastAsia="Caveat" w:hAnsi="Caveat" w:cs="Caveat"/>
          <w:color w:val="000000"/>
          <w:sz w:val="22"/>
          <w:szCs w:val="22"/>
        </w:rPr>
        <w:t xml:space="preserve">D’ICELUI, CHAQUE ANNEE. COMME LES JOURS OÙ LES JUIFS SE SONT REPOSES DE LEURS ENNEMIS ET LE RENOUVEAU LUNAIRE QUI SE TRANSFORMA POUR EUX DE TRISTESSE EN JOIE, DE DEUIL EN JOUR DE BON. DE LES REALISER JOURS DE FESTINS ET DE JOIE D’ENVOI DE PARTS UN HOMME A </w:t>
      </w:r>
      <w:r>
        <w:rPr>
          <w:rFonts w:ascii="Caveat" w:eastAsia="Caveat" w:hAnsi="Caveat" w:cs="Caveat"/>
          <w:color w:val="000000"/>
          <w:sz w:val="22"/>
          <w:szCs w:val="22"/>
        </w:rPr>
        <w:t>SON AMI ET CADEAUX AUX PAUVRES.</w:t>
      </w:r>
    </w:p>
    <w:p w14:paraId="00000077"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78"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79" w14:textId="3456ACA1" w:rsidR="00CC049E" w:rsidRDefault="002F3359">
      <w:pPr>
        <w:numPr>
          <w:ilvl w:val="0"/>
          <w:numId w:val="1"/>
        </w:numPr>
        <w:pBdr>
          <w:top w:val="nil"/>
          <w:left w:val="nil"/>
          <w:bottom w:val="nil"/>
          <w:right w:val="nil"/>
          <w:between w:val="nil"/>
        </w:pBdr>
        <w:rPr>
          <w:rFonts w:ascii="Caveat" w:eastAsia="Caveat" w:hAnsi="Caveat" w:cs="Caveat"/>
          <w:color w:val="000000"/>
        </w:rPr>
      </w:pPr>
      <w:r>
        <w:rPr>
          <w:rFonts w:ascii="Caveat" w:eastAsia="Caveat" w:hAnsi="Caveat" w:cs="Caveat"/>
          <w:color w:val="000000"/>
          <w:sz w:val="22"/>
          <w:szCs w:val="22"/>
          <w:u w:val="single"/>
        </w:rPr>
        <w:t xml:space="preserve">Chapitre 9. Versets 29 à </w:t>
      </w:r>
      <w:r w:rsidR="00074125">
        <w:rPr>
          <w:rFonts w:ascii="Caveat" w:eastAsia="Caveat" w:hAnsi="Caveat" w:cs="Caveat"/>
          <w:color w:val="000000"/>
          <w:sz w:val="22"/>
          <w:szCs w:val="22"/>
          <w:u w:val="single"/>
        </w:rPr>
        <w:t>32 :</w:t>
      </w:r>
    </w:p>
    <w:p w14:paraId="0000007A" w14:textId="63827DA8"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Elle écrivit, Esther la reine, fille d’Avi’haïl, ainsi que Mordekhaï le juif, toute la puissance (de ce récit). Pour ériger sur eux la missive des sorts la deuxième, celle-là. Il envoie des sup</w:t>
      </w:r>
      <w:r>
        <w:rPr>
          <w:rFonts w:ascii="Caveat" w:eastAsia="Caveat" w:hAnsi="Caveat" w:cs="Caveat"/>
          <w:color w:val="000000"/>
          <w:sz w:val="22"/>
          <w:szCs w:val="22"/>
        </w:rPr>
        <w:t xml:space="preserve">ports de récits à tous les juifs, aux 127 provinces juridiques, le royaume d’A’hashveroch, des paroles de paix et de </w:t>
      </w:r>
      <w:r w:rsidR="00074125">
        <w:rPr>
          <w:rFonts w:ascii="Caveat" w:eastAsia="Caveat" w:hAnsi="Caveat" w:cs="Caveat"/>
          <w:color w:val="000000"/>
          <w:sz w:val="22"/>
          <w:szCs w:val="22"/>
        </w:rPr>
        <w:t>vérité :</w:t>
      </w:r>
    </w:p>
    <w:p w14:paraId="0000007B" w14:textId="77777777"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 xml:space="preserve">ACCOMPLIR CES JOURS DE POURIM EN LEURS TEMPS, COMME ASSUREMENT MORDEKHAÏ LE JUIF L’INSTITUA AVEC ESTHER LA REINE, COMME ASSUREMENT </w:t>
      </w:r>
      <w:r>
        <w:rPr>
          <w:rFonts w:ascii="Caveat" w:eastAsia="Caveat" w:hAnsi="Caveat" w:cs="Caveat"/>
          <w:color w:val="000000"/>
          <w:sz w:val="22"/>
          <w:szCs w:val="22"/>
        </w:rPr>
        <w:t>ILS L’INSTITUERENT SUR LEUR PERSONNE ET SUR LEUR FAMILLE, LES PAROLES DES JEÛNES ET DES CRIS. C’EST LE DISCOURS D’ESTHER QUI INSTITUA LES PAROLES DE POURIM QUE VOILÀ ET QUI FURENT TRANSCRITS EN UN (des 24) LIVRES.</w:t>
      </w:r>
    </w:p>
    <w:p w14:paraId="0000007C"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7D" w14:textId="77777777" w:rsidR="00CC049E" w:rsidRDefault="002F3359">
      <w:pPr>
        <w:pBdr>
          <w:top w:val="nil"/>
          <w:left w:val="nil"/>
          <w:bottom w:val="nil"/>
          <w:right w:val="nil"/>
          <w:between w:val="nil"/>
        </w:pBdr>
        <w:rPr>
          <w:rFonts w:ascii="Caveat" w:eastAsia="Caveat" w:hAnsi="Caveat" w:cs="Caveat"/>
          <w:b/>
          <w:color w:val="000000"/>
          <w:sz w:val="22"/>
          <w:szCs w:val="22"/>
          <w:u w:val="single"/>
        </w:rPr>
      </w:pPr>
      <w:r>
        <w:rPr>
          <w:rFonts w:ascii="Caveat" w:eastAsia="Caveat" w:hAnsi="Caveat" w:cs="Caveat"/>
          <w:b/>
          <w:color w:val="000000"/>
          <w:sz w:val="22"/>
          <w:szCs w:val="22"/>
          <w:u w:val="single"/>
        </w:rPr>
        <w:t>Conclusion</w:t>
      </w:r>
    </w:p>
    <w:p w14:paraId="0000007E"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7F" w14:textId="3B3A6F04"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 xml:space="preserve">Le rouleau d’Esther est tout entier une lettre qui a été adressé aux juifs de chaque province juridique du royaume d’A’hashveroch. Cette lettre est </w:t>
      </w:r>
      <w:r w:rsidR="00074125">
        <w:rPr>
          <w:rFonts w:ascii="Caveat" w:eastAsia="Caveat" w:hAnsi="Caveat" w:cs="Caveat"/>
          <w:color w:val="000000"/>
          <w:sz w:val="22"/>
          <w:szCs w:val="22"/>
        </w:rPr>
        <w:t>adressée</w:t>
      </w:r>
      <w:r>
        <w:rPr>
          <w:rFonts w:ascii="Caveat" w:eastAsia="Caveat" w:hAnsi="Caveat" w:cs="Caveat"/>
          <w:color w:val="000000"/>
          <w:sz w:val="22"/>
          <w:szCs w:val="22"/>
        </w:rPr>
        <w:t xml:space="preserve"> par Mordekhaï et Esther juste après la victoire des juifs sur leurs ennemis et de nouveau un an aprè</w:t>
      </w:r>
      <w:r>
        <w:rPr>
          <w:rFonts w:ascii="Caveat" w:eastAsia="Caveat" w:hAnsi="Caveat" w:cs="Caveat"/>
          <w:color w:val="000000"/>
          <w:sz w:val="22"/>
          <w:szCs w:val="22"/>
        </w:rPr>
        <w:t>s pour que les jours de Pourim soient fixés comme jours de fêtes et que cette lettre, le rouleau d’Esther, soit considérée comme un des 24 livres de la sainteté. Cette lettre émanant de la maison royale contient la lettre qu’Haman fit envoyer pour détruire</w:t>
      </w:r>
      <w:r>
        <w:rPr>
          <w:rFonts w:ascii="Caveat" w:eastAsia="Caveat" w:hAnsi="Caveat" w:cs="Caveat"/>
          <w:color w:val="000000"/>
          <w:sz w:val="22"/>
          <w:szCs w:val="22"/>
        </w:rPr>
        <w:t xml:space="preserve"> les juifs et la seconde lettre que Mordekhaï envoya au même sujet pour inverser la chose. La lettre la plus énigmatique reste donc la </w:t>
      </w:r>
      <w:r w:rsidR="00074125">
        <w:rPr>
          <w:rFonts w:ascii="Caveat" w:eastAsia="Caveat" w:hAnsi="Caveat" w:cs="Caveat"/>
          <w:color w:val="000000"/>
          <w:sz w:val="22"/>
          <w:szCs w:val="22"/>
        </w:rPr>
        <w:t>première :</w:t>
      </w:r>
      <w:r>
        <w:rPr>
          <w:rFonts w:ascii="Caveat" w:eastAsia="Caveat" w:hAnsi="Caveat" w:cs="Caveat"/>
          <w:color w:val="000000"/>
          <w:sz w:val="22"/>
          <w:szCs w:val="22"/>
        </w:rPr>
        <w:t xml:space="preserve"> l’homme est dominant dans sa maison et parle l’idiome de son peuple. </w:t>
      </w:r>
    </w:p>
    <w:p w14:paraId="00000080" w14:textId="614D75DA" w:rsidR="00CC049E" w:rsidRDefault="002F3359">
      <w:pPr>
        <w:pBdr>
          <w:top w:val="nil"/>
          <w:left w:val="nil"/>
          <w:bottom w:val="nil"/>
          <w:right w:val="nil"/>
          <w:between w:val="nil"/>
        </w:pBdr>
        <w:rPr>
          <w:rFonts w:ascii="Caveat" w:eastAsia="Caveat" w:hAnsi="Caveat" w:cs="Caveat"/>
          <w:color w:val="000000"/>
          <w:sz w:val="22"/>
          <w:szCs w:val="22"/>
        </w:rPr>
      </w:pPr>
      <w:r>
        <w:rPr>
          <w:rFonts w:ascii="Caveat" w:eastAsia="Caveat" w:hAnsi="Caveat" w:cs="Caveat"/>
          <w:color w:val="000000"/>
          <w:sz w:val="22"/>
          <w:szCs w:val="22"/>
        </w:rPr>
        <w:t xml:space="preserve">Selon Rabbi Moshé Isserles, le rouleau d’Esther tout entier est une parabole sur l’aventure de l’âme humaine et ses péripéties dans le monde. Tel est le contenu de cette première </w:t>
      </w:r>
      <w:bookmarkStart w:id="0" w:name="_GoBack"/>
      <w:bookmarkEnd w:id="0"/>
      <w:r w:rsidR="00074125">
        <w:rPr>
          <w:rFonts w:ascii="Caveat" w:eastAsia="Caveat" w:hAnsi="Caveat" w:cs="Caveat"/>
          <w:color w:val="000000"/>
          <w:sz w:val="22"/>
          <w:szCs w:val="22"/>
        </w:rPr>
        <w:t>lettre :</w:t>
      </w:r>
      <w:r>
        <w:rPr>
          <w:rFonts w:ascii="Caveat" w:eastAsia="Caveat" w:hAnsi="Caveat" w:cs="Caveat"/>
          <w:color w:val="000000"/>
          <w:sz w:val="22"/>
          <w:szCs w:val="22"/>
        </w:rPr>
        <w:t xml:space="preserve"> l’homme doit être maître de son corps (sa maison) en faisant l'appren</w:t>
      </w:r>
      <w:r>
        <w:rPr>
          <w:rFonts w:ascii="Caveat" w:eastAsia="Caveat" w:hAnsi="Caveat" w:cs="Caveat"/>
          <w:color w:val="000000"/>
          <w:sz w:val="22"/>
          <w:szCs w:val="22"/>
        </w:rPr>
        <w:t>tissage de la langue de son peuple, les humains.</w:t>
      </w:r>
    </w:p>
    <w:p w14:paraId="00000081" w14:textId="77777777" w:rsidR="00CC049E" w:rsidRDefault="00CC049E">
      <w:pPr>
        <w:pBdr>
          <w:top w:val="nil"/>
          <w:left w:val="nil"/>
          <w:bottom w:val="nil"/>
          <w:right w:val="nil"/>
          <w:between w:val="nil"/>
        </w:pBdr>
        <w:rPr>
          <w:rFonts w:ascii="Caveat" w:eastAsia="Caveat" w:hAnsi="Caveat" w:cs="Caveat"/>
          <w:color w:val="000000"/>
          <w:sz w:val="22"/>
          <w:szCs w:val="22"/>
        </w:rPr>
      </w:pPr>
    </w:p>
    <w:p w14:paraId="00000082" w14:textId="77777777" w:rsidR="00CC049E" w:rsidRDefault="002F3359">
      <w:pPr>
        <w:pBdr>
          <w:top w:val="nil"/>
          <w:left w:val="nil"/>
          <w:bottom w:val="nil"/>
          <w:right w:val="nil"/>
          <w:between w:val="nil"/>
        </w:pBdr>
        <w:jc w:val="right"/>
        <w:rPr>
          <w:rFonts w:ascii="Caveat" w:eastAsia="Caveat" w:hAnsi="Caveat" w:cs="Caveat"/>
          <w:color w:val="000000"/>
          <w:sz w:val="22"/>
          <w:szCs w:val="22"/>
        </w:rPr>
      </w:pPr>
      <w:r>
        <w:rPr>
          <w:rFonts w:ascii="Caveat" w:eastAsia="Caveat" w:hAnsi="Caveat" w:cs="Caveat"/>
          <w:b/>
          <w:color w:val="000000"/>
          <w:sz w:val="22"/>
          <w:szCs w:val="22"/>
        </w:rPr>
        <w:t>YA</w:t>
      </w:r>
    </w:p>
    <w:sectPr w:rsidR="00CC049E">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8DC03" w14:textId="77777777" w:rsidR="002F3359" w:rsidRDefault="002F3359">
      <w:r>
        <w:separator/>
      </w:r>
    </w:p>
  </w:endnote>
  <w:endnote w:type="continuationSeparator" w:id="0">
    <w:p w14:paraId="518706D4" w14:textId="77777777" w:rsidR="002F3359" w:rsidRDefault="002F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veat">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B35E" w14:textId="77777777" w:rsidR="00074125" w:rsidRDefault="000741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4" w14:textId="77777777" w:rsidR="00CC049E" w:rsidRDefault="00CC04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F248" w14:textId="77777777" w:rsidR="00074125" w:rsidRDefault="000741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8F787" w14:textId="77777777" w:rsidR="002F3359" w:rsidRDefault="002F3359">
      <w:r>
        <w:separator/>
      </w:r>
    </w:p>
  </w:footnote>
  <w:footnote w:type="continuationSeparator" w:id="0">
    <w:p w14:paraId="5A51B514" w14:textId="77777777" w:rsidR="002F3359" w:rsidRDefault="002F3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B738" w14:textId="77777777" w:rsidR="00074125" w:rsidRDefault="000741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3" w14:textId="77777777" w:rsidR="00CC049E" w:rsidRDefault="00CC04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33CD" w14:textId="77777777" w:rsidR="00074125" w:rsidRDefault="000741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41E92"/>
    <w:multiLevelType w:val="multilevel"/>
    <w:tmpl w:val="EBDAD318"/>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abstractNum w:abstractNumId="1" w15:restartNumberingAfterBreak="0">
    <w:nsid w:val="2AE42EED"/>
    <w:multiLevelType w:val="multilevel"/>
    <w:tmpl w:val="11FE8518"/>
    <w:lvl w:ilvl="0">
      <w:start w:val="1"/>
      <w:numFmt w:val="upperRoman"/>
      <w:lvlText w:val="%1)"/>
      <w:lvlJc w:val="left"/>
      <w:pPr>
        <w:ind w:left="360" w:hanging="360"/>
      </w:pPr>
      <w:rPr>
        <w:smallCaps w:val="0"/>
        <w:strike w:val="0"/>
        <w:shd w:val="clear" w:color="auto" w:fill="auto"/>
        <w:vertAlign w:val="baseline"/>
      </w:rPr>
    </w:lvl>
    <w:lvl w:ilvl="1">
      <w:start w:val="1"/>
      <w:numFmt w:val="upperRoman"/>
      <w:lvlText w:val="%2)"/>
      <w:lvlJc w:val="left"/>
      <w:pPr>
        <w:ind w:left="720" w:hanging="360"/>
      </w:pPr>
      <w:rPr>
        <w:smallCaps w:val="0"/>
        <w:strike w:val="0"/>
        <w:shd w:val="clear" w:color="auto" w:fill="auto"/>
        <w:vertAlign w:val="baseline"/>
      </w:rPr>
    </w:lvl>
    <w:lvl w:ilvl="2">
      <w:start w:val="1"/>
      <w:numFmt w:val="upperRoman"/>
      <w:lvlText w:val="%3)"/>
      <w:lvlJc w:val="left"/>
      <w:pPr>
        <w:ind w:left="1080" w:hanging="360"/>
      </w:pPr>
      <w:rPr>
        <w:smallCaps w:val="0"/>
        <w:strike w:val="0"/>
        <w:shd w:val="clear" w:color="auto" w:fill="auto"/>
        <w:vertAlign w:val="baseline"/>
      </w:rPr>
    </w:lvl>
    <w:lvl w:ilvl="3">
      <w:start w:val="1"/>
      <w:numFmt w:val="upperRoman"/>
      <w:lvlText w:val="%4)"/>
      <w:lvlJc w:val="left"/>
      <w:pPr>
        <w:ind w:left="1440" w:hanging="360"/>
      </w:pPr>
      <w:rPr>
        <w:smallCaps w:val="0"/>
        <w:strike w:val="0"/>
        <w:shd w:val="clear" w:color="auto" w:fill="auto"/>
        <w:vertAlign w:val="baseline"/>
      </w:rPr>
    </w:lvl>
    <w:lvl w:ilvl="4">
      <w:start w:val="1"/>
      <w:numFmt w:val="upperRoman"/>
      <w:lvlText w:val="%5)"/>
      <w:lvlJc w:val="left"/>
      <w:pPr>
        <w:ind w:left="1800" w:hanging="360"/>
      </w:pPr>
      <w:rPr>
        <w:smallCaps w:val="0"/>
        <w:strike w:val="0"/>
        <w:shd w:val="clear" w:color="auto" w:fill="auto"/>
        <w:vertAlign w:val="baseline"/>
      </w:rPr>
    </w:lvl>
    <w:lvl w:ilvl="5">
      <w:start w:val="1"/>
      <w:numFmt w:val="upperRoman"/>
      <w:lvlText w:val="%6)"/>
      <w:lvlJc w:val="left"/>
      <w:pPr>
        <w:ind w:left="2160" w:hanging="360"/>
      </w:pPr>
      <w:rPr>
        <w:smallCaps w:val="0"/>
        <w:strike w:val="0"/>
        <w:shd w:val="clear" w:color="auto" w:fill="auto"/>
        <w:vertAlign w:val="baseline"/>
      </w:rPr>
    </w:lvl>
    <w:lvl w:ilvl="6">
      <w:start w:val="1"/>
      <w:numFmt w:val="upperRoman"/>
      <w:lvlText w:val="%7)"/>
      <w:lvlJc w:val="left"/>
      <w:pPr>
        <w:ind w:left="2520" w:hanging="360"/>
      </w:pPr>
      <w:rPr>
        <w:smallCaps w:val="0"/>
        <w:strike w:val="0"/>
        <w:shd w:val="clear" w:color="auto" w:fill="auto"/>
        <w:vertAlign w:val="baseline"/>
      </w:rPr>
    </w:lvl>
    <w:lvl w:ilvl="7">
      <w:start w:val="1"/>
      <w:numFmt w:val="upperRoman"/>
      <w:lvlText w:val="%8)"/>
      <w:lvlJc w:val="left"/>
      <w:pPr>
        <w:ind w:left="2880" w:hanging="360"/>
      </w:pPr>
      <w:rPr>
        <w:smallCaps w:val="0"/>
        <w:strike w:val="0"/>
        <w:shd w:val="clear" w:color="auto" w:fill="auto"/>
        <w:vertAlign w:val="baseline"/>
      </w:rPr>
    </w:lvl>
    <w:lvl w:ilvl="8">
      <w:start w:val="1"/>
      <w:numFmt w:val="upperRoman"/>
      <w:lvlText w:val="%9)"/>
      <w:lvlJc w:val="left"/>
      <w:pPr>
        <w:ind w:left="3240" w:hanging="360"/>
      </w:pPr>
      <w:rPr>
        <w:smallCaps w:val="0"/>
        <w:strike w:val="0"/>
        <w:shd w:val="clear" w:color="auto" w:fill="auto"/>
        <w:vertAlign w:val="baseline"/>
      </w:rPr>
    </w:lvl>
  </w:abstractNum>
  <w:abstractNum w:abstractNumId="2" w15:restartNumberingAfterBreak="0">
    <w:nsid w:val="2CAE5697"/>
    <w:multiLevelType w:val="multilevel"/>
    <w:tmpl w:val="455EA4DA"/>
    <w:lvl w:ilvl="0">
      <w:start w:val="1"/>
      <w:numFmt w:val="bullet"/>
      <w:lvlText w:val="•"/>
      <w:lvlJc w:val="left"/>
      <w:pPr>
        <w:ind w:left="240" w:hanging="240"/>
      </w:pPr>
      <w:rPr>
        <w:smallCaps w:val="0"/>
        <w:strike w:val="0"/>
        <w:sz w:val="26"/>
        <w:szCs w:val="26"/>
        <w:shd w:val="clear" w:color="auto" w:fill="auto"/>
        <w:vertAlign w:val="baseline"/>
      </w:rPr>
    </w:lvl>
    <w:lvl w:ilvl="1">
      <w:start w:val="1"/>
      <w:numFmt w:val="bullet"/>
      <w:lvlText w:val="•"/>
      <w:lvlJc w:val="left"/>
      <w:pPr>
        <w:ind w:left="480" w:hanging="240"/>
      </w:pPr>
      <w:rPr>
        <w:smallCaps w:val="0"/>
        <w:strike w:val="0"/>
        <w:sz w:val="26"/>
        <w:szCs w:val="26"/>
        <w:shd w:val="clear" w:color="auto" w:fill="auto"/>
        <w:vertAlign w:val="baseline"/>
      </w:rPr>
    </w:lvl>
    <w:lvl w:ilvl="2">
      <w:start w:val="1"/>
      <w:numFmt w:val="bullet"/>
      <w:lvlText w:val="•"/>
      <w:lvlJc w:val="left"/>
      <w:pPr>
        <w:ind w:left="720" w:hanging="240"/>
      </w:pPr>
      <w:rPr>
        <w:smallCaps w:val="0"/>
        <w:strike w:val="0"/>
        <w:sz w:val="26"/>
        <w:szCs w:val="26"/>
        <w:shd w:val="clear" w:color="auto" w:fill="auto"/>
        <w:vertAlign w:val="baseline"/>
      </w:rPr>
    </w:lvl>
    <w:lvl w:ilvl="3">
      <w:start w:val="1"/>
      <w:numFmt w:val="bullet"/>
      <w:lvlText w:val="•"/>
      <w:lvlJc w:val="left"/>
      <w:pPr>
        <w:ind w:left="960" w:hanging="240"/>
      </w:pPr>
      <w:rPr>
        <w:smallCaps w:val="0"/>
        <w:strike w:val="0"/>
        <w:sz w:val="26"/>
        <w:szCs w:val="26"/>
        <w:shd w:val="clear" w:color="auto" w:fill="auto"/>
        <w:vertAlign w:val="baseline"/>
      </w:rPr>
    </w:lvl>
    <w:lvl w:ilvl="4">
      <w:start w:val="1"/>
      <w:numFmt w:val="bullet"/>
      <w:lvlText w:val="•"/>
      <w:lvlJc w:val="left"/>
      <w:pPr>
        <w:ind w:left="1200" w:hanging="240"/>
      </w:pPr>
      <w:rPr>
        <w:smallCaps w:val="0"/>
        <w:strike w:val="0"/>
        <w:sz w:val="26"/>
        <w:szCs w:val="26"/>
        <w:shd w:val="clear" w:color="auto" w:fill="auto"/>
        <w:vertAlign w:val="baseline"/>
      </w:rPr>
    </w:lvl>
    <w:lvl w:ilvl="5">
      <w:start w:val="1"/>
      <w:numFmt w:val="bullet"/>
      <w:lvlText w:val="•"/>
      <w:lvlJc w:val="left"/>
      <w:pPr>
        <w:ind w:left="1440" w:hanging="240"/>
      </w:pPr>
      <w:rPr>
        <w:smallCaps w:val="0"/>
        <w:strike w:val="0"/>
        <w:sz w:val="26"/>
        <w:szCs w:val="26"/>
        <w:shd w:val="clear" w:color="auto" w:fill="auto"/>
        <w:vertAlign w:val="baseline"/>
      </w:rPr>
    </w:lvl>
    <w:lvl w:ilvl="6">
      <w:start w:val="1"/>
      <w:numFmt w:val="bullet"/>
      <w:lvlText w:val="•"/>
      <w:lvlJc w:val="left"/>
      <w:pPr>
        <w:ind w:left="1680" w:hanging="240"/>
      </w:pPr>
      <w:rPr>
        <w:smallCaps w:val="0"/>
        <w:strike w:val="0"/>
        <w:sz w:val="26"/>
        <w:szCs w:val="26"/>
        <w:shd w:val="clear" w:color="auto" w:fill="auto"/>
        <w:vertAlign w:val="baseline"/>
      </w:rPr>
    </w:lvl>
    <w:lvl w:ilvl="7">
      <w:start w:val="1"/>
      <w:numFmt w:val="bullet"/>
      <w:lvlText w:val="•"/>
      <w:lvlJc w:val="left"/>
      <w:pPr>
        <w:ind w:left="1920" w:hanging="240"/>
      </w:pPr>
      <w:rPr>
        <w:smallCaps w:val="0"/>
        <w:strike w:val="0"/>
        <w:sz w:val="26"/>
        <w:szCs w:val="26"/>
        <w:shd w:val="clear" w:color="auto" w:fill="auto"/>
        <w:vertAlign w:val="baseline"/>
      </w:rPr>
    </w:lvl>
    <w:lvl w:ilvl="8">
      <w:start w:val="1"/>
      <w:numFmt w:val="bullet"/>
      <w:lvlText w:val="•"/>
      <w:lvlJc w:val="left"/>
      <w:pPr>
        <w:ind w:left="2160" w:hanging="240"/>
      </w:pPr>
      <w:rPr>
        <w:smallCaps w:val="0"/>
        <w:strike w:val="0"/>
        <w:sz w:val="26"/>
        <w:szCs w:val="26"/>
        <w:shd w:val="clear" w:color="auto" w:fill="auto"/>
        <w:vertAlign w:val="baseline"/>
      </w:rPr>
    </w:lvl>
  </w:abstractNum>
  <w:abstractNum w:abstractNumId="3" w15:restartNumberingAfterBreak="0">
    <w:nsid w:val="539D6C55"/>
    <w:multiLevelType w:val="multilevel"/>
    <w:tmpl w:val="9A32FD56"/>
    <w:lvl w:ilvl="0">
      <w:start w:val="1"/>
      <w:numFmt w:val="upperRoman"/>
      <w:lvlText w:val="%1."/>
      <w:lvlJc w:val="left"/>
      <w:pPr>
        <w:ind w:left="360" w:hanging="360"/>
      </w:pPr>
      <w:rPr>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lowerLetter"/>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lowerLetter"/>
      <w:lvlText w:val="(%6)"/>
      <w:lvlJc w:val="left"/>
      <w:pPr>
        <w:ind w:left="2160" w:hanging="360"/>
      </w:pPr>
      <w:rPr>
        <w:smallCaps w:val="0"/>
        <w:strike w:val="0"/>
        <w:shd w:val="clear" w:color="auto" w:fill="auto"/>
        <w:vertAlign w:val="baseline"/>
      </w:rPr>
    </w:lvl>
    <w:lvl w:ilvl="6">
      <w:start w:val="1"/>
      <w:numFmt w:val="lowerRoman"/>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lowerLetter"/>
      <w:lvlText w:val="(%9)"/>
      <w:lvlJc w:val="left"/>
      <w:pPr>
        <w:ind w:left="3240" w:hanging="360"/>
      </w:pPr>
      <w:rPr>
        <w:smallCaps w:val="0"/>
        <w:strike w:val="0"/>
        <w:shd w:val="clear" w:color="auto" w:fill="auto"/>
        <w:vertAlign w:val="baseline"/>
      </w:rPr>
    </w:lvl>
  </w:abstractNum>
  <w:abstractNum w:abstractNumId="4" w15:restartNumberingAfterBreak="0">
    <w:nsid w:val="55F55EAB"/>
    <w:multiLevelType w:val="multilevel"/>
    <w:tmpl w:val="2952A2EC"/>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9E"/>
    <w:rsid w:val="00074125"/>
    <w:rsid w:val="002F3359"/>
    <w:rsid w:val="00CC049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C193D"/>
  <w15:docId w15:val="{148B676C-A3FC-6C44-94B5-A33130C9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074125"/>
    <w:pPr>
      <w:tabs>
        <w:tab w:val="center" w:pos="4536"/>
        <w:tab w:val="right" w:pos="9072"/>
      </w:tabs>
    </w:pPr>
  </w:style>
  <w:style w:type="character" w:customStyle="1" w:styleId="En-tteCar">
    <w:name w:val="En-tête Car"/>
    <w:basedOn w:val="Policepardfaut"/>
    <w:link w:val="En-tte"/>
    <w:uiPriority w:val="99"/>
    <w:rsid w:val="00074125"/>
  </w:style>
  <w:style w:type="paragraph" w:styleId="Pieddepage">
    <w:name w:val="footer"/>
    <w:basedOn w:val="Normal"/>
    <w:link w:val="PieddepageCar"/>
    <w:uiPriority w:val="99"/>
    <w:unhideWhenUsed/>
    <w:rsid w:val="00074125"/>
    <w:pPr>
      <w:tabs>
        <w:tab w:val="center" w:pos="4536"/>
        <w:tab w:val="right" w:pos="9072"/>
      </w:tabs>
    </w:pPr>
  </w:style>
  <w:style w:type="character" w:customStyle="1" w:styleId="PieddepageCar">
    <w:name w:val="Pied de page Car"/>
    <w:basedOn w:val="Policepardfaut"/>
    <w:link w:val="Pieddepage"/>
    <w:uiPriority w:val="99"/>
    <w:rsid w:val="0007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1930</Words>
  <Characters>10619</Characters>
  <Application>Microsoft Office Word</Application>
  <DocSecurity>0</DocSecurity>
  <Lines>88</Lines>
  <Paragraphs>25</Paragraphs>
  <ScaleCrop>false</ScaleCrop>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2019-04-01T13:55:00Z</dcterms:created>
  <dcterms:modified xsi:type="dcterms:W3CDTF">2019-04-01T13:55:00Z</dcterms:modified>
</cp:coreProperties>
</file>